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7DA24920">
      <w:pPr>
        <w:rPr>
          <w:sz w:val="32"/>
          <w:szCs w:val="32"/>
        </w:rPr>
      </w:pPr>
      <w:r w:rsidRPr="32C7804F" w:rsidR="001C1E78">
        <w:rPr>
          <w:sz w:val="32"/>
          <w:szCs w:val="32"/>
        </w:rPr>
        <w:t xml:space="preserve">EO </w:t>
      </w:r>
      <w:r w:rsidRPr="32C7804F" w:rsidR="29BDCA8F">
        <w:rPr>
          <w:sz w:val="32"/>
          <w:szCs w:val="32"/>
        </w:rPr>
        <w:t>003</w:t>
      </w:r>
      <w:r w:rsidRPr="32C7804F" w:rsidR="001C1E78">
        <w:rPr>
          <w:sz w:val="32"/>
          <w:szCs w:val="32"/>
        </w:rPr>
        <w:t>.</w:t>
      </w:r>
      <w:r w:rsidRPr="32C7804F" w:rsidR="0653602B">
        <w:rPr>
          <w:sz w:val="32"/>
          <w:szCs w:val="32"/>
        </w:rPr>
        <w:t>02</w:t>
      </w:r>
      <w:r w:rsidRPr="32C7804F" w:rsidR="001C1E78">
        <w:rPr>
          <w:sz w:val="32"/>
          <w:szCs w:val="32"/>
        </w:rPr>
        <w:t xml:space="preserve"> - </w:t>
      </w:r>
      <w:r w:rsidRPr="32C7804F" w:rsidR="19279EAB">
        <w:rPr>
          <w:sz w:val="32"/>
          <w:szCs w:val="32"/>
        </w:rPr>
        <w:t>Define IERs</w:t>
      </w:r>
    </w:p>
    <w:p w:rsidRPr="00976FCC" w:rsidR="001C1E78" w:rsidP="32C7804F" w:rsidRDefault="00A23F24" w14:paraId="7C8C15C1" w14:textId="50B3CA4E">
      <w:pPr>
        <w:pStyle w:val="Style1"/>
        <w:rPr>
          <w:b w:val="1"/>
          <w:bCs w:val="1"/>
          <w:sz w:val="32"/>
          <w:szCs w:val="32"/>
        </w:rPr>
      </w:pPr>
      <w:r w:rsidRPr="32C7804F" w:rsidR="19279EAB">
        <w:rPr>
          <w:rFonts w:ascii="Times New Roman" w:hAnsi="Times New Roman" w:cs="Times New Roman"/>
        </w:rPr>
        <w:t xml:space="preserve">003.02.02 </w:t>
      </w:r>
      <w:r w:rsidRPr="32C7804F" w:rsidR="001C1E78">
        <w:rPr>
          <w:sz w:val="32"/>
          <w:szCs w:val="32"/>
        </w:rPr>
        <w:t>-</w:t>
      </w:r>
      <w:r w:rsidRPr="32C7804F" w:rsidR="774EA1D4">
        <w:rPr>
          <w:b w:val="0"/>
          <w:bCs w:val="0"/>
          <w:sz w:val="32"/>
          <w:szCs w:val="32"/>
        </w:rPr>
        <w:t xml:space="preserve"> </w:t>
      </w:r>
      <w:r w:rsidRPr="32C7804F" w:rsidR="774EA1D4">
        <w:rPr>
          <w:b w:val="1"/>
          <w:bCs w:val="1"/>
          <w:sz w:val="32"/>
          <w:szCs w:val="32"/>
        </w:rPr>
        <w:t>Analyze Data</w:t>
      </w:r>
      <w:r w:rsidRPr="32C7804F" w:rsidR="1AA67111">
        <w:rPr>
          <w:b w:val="1"/>
          <w:bCs w:val="1"/>
          <w:sz w:val="32"/>
          <w:szCs w:val="32"/>
        </w:rPr>
        <w:t xml:space="preserve"> </w:t>
      </w:r>
      <w:r w:rsidRPr="32C7804F" w:rsidR="774EA1D4">
        <w:rPr>
          <w:b w:val="1"/>
          <w:bCs w:val="1"/>
          <w:sz w:val="32"/>
          <w:szCs w:val="32"/>
        </w:rPr>
        <w:t>Link Filtering and Routing Requirements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32C7804F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32C7804F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32C7804F" w:rsidRDefault="001C1E78" w14:paraId="70F63B5A" w14:textId="7D35EEF2">
            <w:pPr>
              <w:rPr>
                <w:lang w:val="en-CA"/>
              </w:rPr>
            </w:pPr>
            <w:r w:rsidRPr="32C7804F" w:rsidR="34ED6814">
              <w:rPr>
                <w:lang w:val="en-CA"/>
              </w:rPr>
              <w:t xml:space="preserve">Given a </w:t>
            </w:r>
            <w:r w:rsidRPr="32C7804F" w:rsidR="50AB8C05">
              <w:rPr>
                <w:lang w:val="en-CA"/>
              </w:rPr>
              <w:t>C</w:t>
            </w:r>
            <w:r w:rsidRPr="32C7804F" w:rsidR="34ED6814">
              <w:rPr>
                <w:lang w:val="en-CA"/>
              </w:rPr>
              <w:t xml:space="preserve">lassroom with </w:t>
            </w:r>
            <w:r w:rsidRPr="32C7804F" w:rsidR="6F378888">
              <w:rPr>
                <w:lang w:val="en-CA"/>
              </w:rPr>
              <w:t>W</w:t>
            </w:r>
            <w:r w:rsidRPr="32C7804F" w:rsidR="34ED6814">
              <w:rPr>
                <w:lang w:val="en-CA"/>
              </w:rPr>
              <w:t xml:space="preserve">orkstation and </w:t>
            </w:r>
            <w:r w:rsidRPr="32C7804F" w:rsidR="4AC927C3">
              <w:rPr>
                <w:lang w:val="en-CA"/>
              </w:rPr>
              <w:t>P</w:t>
            </w:r>
            <w:r w:rsidRPr="32C7804F" w:rsidR="34ED6814">
              <w:rPr>
                <w:lang w:val="en-CA"/>
              </w:rPr>
              <w:t>rojector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32C7804F" w:rsidRDefault="001C1E78" w14:paraId="314FD918" w14:textId="61319145">
            <w:pPr>
              <w:rPr>
                <w:lang w:val="en-CA"/>
              </w:rPr>
            </w:pPr>
            <w:r w:rsidRPr="32C7804F" w:rsidR="15BACD4D">
              <w:rPr>
                <w:lang w:val="en-CA"/>
              </w:rPr>
              <w:t>Following LO 003.01.01</w:t>
            </w:r>
          </w:p>
        </w:tc>
      </w:tr>
      <w:tr w:rsidR="001C1E78" w:rsidTr="32C7804F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32C7804F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32C7804F" w:rsidRDefault="001C1E78" w14:paraId="03B7F4D5" w14:textId="7F7D1D7F">
            <w:pPr>
              <w:rPr>
                <w:lang w:val="en-CA"/>
              </w:rPr>
            </w:pPr>
            <w:r w:rsidRPr="32C7804F" w:rsidR="75D86C35">
              <w:rPr>
                <w:lang w:val="en-CA"/>
              </w:rPr>
              <w:t xml:space="preserve">100 </w:t>
            </w:r>
            <w:r w:rsidRPr="32C7804F" w:rsidR="7974B187">
              <w:rPr>
                <w:lang w:val="en-CA"/>
              </w:rPr>
              <w:t>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32C7804F" w:rsidRDefault="001C1E78" w14:paraId="433845DA" w14:textId="6343B5C1">
            <w:pPr>
              <w:rPr>
                <w:lang w:val="en-CA"/>
              </w:rPr>
            </w:pPr>
            <w:r w:rsidRPr="32C7804F" w:rsidR="0F671A83">
              <w:rPr>
                <w:lang w:val="en-CA"/>
              </w:rPr>
              <w:t xml:space="preserve">Unclassified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32C7804F" w:rsidRDefault="001C1E78" w14:paraId="60DC980E" w14:textId="2824FBC7">
            <w:pPr>
              <w:rPr>
                <w:lang w:val="en-CA"/>
              </w:rPr>
            </w:pPr>
            <w:r w:rsidRPr="32C7804F" w:rsidR="0F671A83">
              <w:rPr>
                <w:lang w:val="en-CA"/>
              </w:rPr>
              <w:t xml:space="preserve">TDL 300 Qualified </w:t>
            </w:r>
            <w:r w:rsidRPr="32C7804F" w:rsidR="6E94AAB5">
              <w:rPr>
                <w:lang w:val="en-CA"/>
              </w:rPr>
              <w:t>Instructor</w:t>
            </w:r>
          </w:p>
        </w:tc>
      </w:tr>
      <w:tr w:rsidR="001C1E78" w:rsidTr="32C7804F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2C7804F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32C7804F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32C7804F" w:rsidRDefault="001C1E78" w14:paraId="300F3A50" w14:textId="5C5639CF">
            <w:pPr>
              <w:rPr>
                <w:lang w:val="en-CA"/>
              </w:rPr>
            </w:pPr>
            <w:r w:rsidRPr="32C7804F" w:rsidR="001C1E78">
              <w:rPr>
                <w:lang w:val="en-CA"/>
              </w:rPr>
              <w:t>1)</w:t>
            </w:r>
            <w:r w:rsidRPr="32C7804F" w:rsidR="50C6DFA9">
              <w:rPr>
                <w:lang w:val="en-CA"/>
              </w:rPr>
              <w:t xml:space="preserve"> </w:t>
            </w:r>
            <w:r w:rsidRPr="32C7804F" w:rsidR="449DCDCE">
              <w:rPr>
                <w:lang w:val="en-CA"/>
              </w:rPr>
              <w:t>Identify routing requirements in an MTA</w:t>
            </w:r>
          </w:p>
          <w:p w:rsidRPr="004178B8" w:rsidR="001C1E78" w:rsidP="32C7804F" w:rsidRDefault="001C1E78" w14:paraId="6F4CAFF9" w14:textId="672248F5">
            <w:pPr>
              <w:rPr>
                <w:lang w:val="en-CA"/>
              </w:rPr>
            </w:pPr>
            <w:r w:rsidRPr="32C7804F" w:rsidR="001C1E78">
              <w:rPr>
                <w:lang w:val="en-CA"/>
              </w:rPr>
              <w:t xml:space="preserve">2) </w:t>
            </w:r>
            <w:r w:rsidRPr="32C7804F" w:rsidR="4D93CBC8">
              <w:rPr>
                <w:lang w:val="en-CA"/>
              </w:rPr>
              <w:t>Identify filters</w:t>
            </w:r>
          </w:p>
          <w:p w:rsidRPr="004178B8" w:rsidR="001C1E78" w:rsidP="32C7804F" w:rsidRDefault="001C1E78" w14:paraId="5ED4846A" w14:textId="459438DD">
            <w:pPr>
              <w:pStyle w:val="Normal"/>
              <w:rPr>
                <w:lang w:val="en-CA"/>
              </w:rPr>
            </w:pPr>
            <w:r w:rsidRPr="32C7804F" w:rsidR="4D93CBC8">
              <w:rPr>
                <w:lang w:val="en-CA"/>
              </w:rPr>
              <w:t>3) Identify filter effects on IERs</w:t>
            </w:r>
          </w:p>
          <w:p w:rsidRPr="004178B8" w:rsidR="001C1E78" w:rsidP="32C7804F" w:rsidRDefault="001C1E78" w14:paraId="533CDBF0" w14:textId="19721328">
            <w:pPr>
              <w:pStyle w:val="Normal"/>
              <w:rPr>
                <w:lang w:val="en-CA"/>
              </w:rPr>
            </w:pPr>
            <w:r w:rsidRPr="32C7804F" w:rsidR="4D93CBC8">
              <w:rPr>
                <w:lang w:val="en-CA"/>
              </w:rPr>
              <w:t>4) Identify filtering requirements in an MTA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32C7804F" w:rsidRDefault="001C1E78" w14:paraId="65401B20" w14:textId="62FF2402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32C7804F" w:rsidR="4079D0BA">
              <w:rPr>
                <w:lang w:val="en-CA"/>
              </w:rPr>
              <w:t>Think</w:t>
            </w:r>
            <w:r w:rsidRPr="32C7804F" w:rsidR="45CB8533">
              <w:rPr>
                <w:lang w:val="en-CA"/>
              </w:rPr>
              <w:t>-</w:t>
            </w:r>
            <w:r w:rsidRPr="32C7804F" w:rsidR="4079D0BA">
              <w:rPr>
                <w:lang w:val="en-CA"/>
              </w:rPr>
              <w:t>Pair</w:t>
            </w:r>
            <w:r w:rsidRPr="32C7804F" w:rsidR="253FBD00">
              <w:rPr>
                <w:lang w:val="en-CA"/>
              </w:rPr>
              <w:t>-</w:t>
            </w:r>
            <w:r w:rsidRPr="32C7804F" w:rsidR="4079D0BA">
              <w:rPr>
                <w:lang w:val="en-CA"/>
              </w:rPr>
              <w:t>Share</w:t>
            </w:r>
          </w:p>
          <w:p w:rsidRPr="00ED7D0A" w:rsidR="001C1E78" w:rsidP="32C7804F" w:rsidRDefault="001C1E78" w14:paraId="1D5E63B6" w14:textId="34B835F3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32C7804F" w:rsidR="4079D0BA">
              <w:rPr>
                <w:lang w:val="en-CA"/>
              </w:rPr>
              <w:t xml:space="preserve">Interactive </w:t>
            </w:r>
            <w:r w:rsidRPr="32C7804F" w:rsidR="4079D0BA">
              <w:rPr>
                <w:lang w:val="en-CA"/>
              </w:rPr>
              <w:t>Lect</w:t>
            </w:r>
            <w:r w:rsidRPr="32C7804F" w:rsidR="4079D0BA">
              <w:rPr>
                <w:lang w:val="en-CA"/>
              </w:rPr>
              <w:t>ure</w:t>
            </w:r>
          </w:p>
          <w:p w:rsidRPr="00ED7D0A" w:rsidR="001C1E78" w:rsidP="32C7804F" w:rsidRDefault="001C1E78" w14:paraId="60CE6DF6" w14:textId="579AB76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32C7804F" w:rsidR="34BFFEE6">
              <w:rPr>
                <w:lang w:val="en-CA"/>
              </w:rPr>
              <w:t>Guided Discussion</w:t>
            </w:r>
          </w:p>
        </w:tc>
      </w:tr>
      <w:tr w:rsidR="001C1E78" w:rsidTr="32C7804F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32C7804F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32C7804F" w:rsidRDefault="001C1E78" w14:paraId="30FE9C16" w14:textId="535C0B9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2C7804F" w:rsidR="1EC59A82">
              <w:rPr>
                <w:lang w:val="en-CA"/>
              </w:rPr>
              <w:t>You are a Multi-Link Operations Specialist. You are required to understand and enforce the routing and filter requirements based on the training OTL provided to you by your Data Link Manager.</w:t>
            </w:r>
          </w:p>
        </w:tc>
      </w:tr>
      <w:tr w:rsidR="001C1E78" w:rsidTr="32C7804F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77777777">
            <w:pPr>
              <w:rPr>
                <w:lang w:val="en-CA"/>
              </w:rPr>
            </w:pPr>
          </w:p>
          <w:p w:rsidR="001C1E78" w:rsidP="32C7804F" w:rsidRDefault="001C1E78" w14:paraId="76E5FDD9" w14:textId="17637F1A">
            <w:pPr>
              <w:rPr>
                <w:b w:val="1"/>
                <w:bCs w:val="1"/>
                <w:lang w:val="en-CA"/>
              </w:rPr>
            </w:pPr>
            <w:r w:rsidRPr="32C7804F" w:rsidR="3F06972C">
              <w:rPr>
                <w:b w:val="1"/>
                <w:bCs w:val="1"/>
                <w:lang w:val="en-CA"/>
              </w:rPr>
              <w:t xml:space="preserve">Introduction - </w:t>
            </w:r>
          </w:p>
          <w:p w:rsidRPr="00E70B70" w:rsidR="001C1E78" w:rsidP="32C7804F" w:rsidRDefault="001C1E78" w14:paraId="2DC12282" w14:textId="799F4B1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32C7804F" w:rsidR="53D7BAAA">
              <w:rPr>
                <w:b w:val="0"/>
                <w:bCs w:val="0"/>
                <w:lang w:val="en-CA"/>
              </w:rPr>
              <w:t xml:space="preserve">The Instructor will </w:t>
            </w:r>
            <w:r w:rsidRPr="32C7804F" w:rsidR="750ECBA3">
              <w:rPr>
                <w:b w:val="0"/>
                <w:bCs w:val="0"/>
                <w:lang w:val="en-CA"/>
              </w:rPr>
              <w:t>facilitate</w:t>
            </w:r>
            <w:r w:rsidRPr="32C7804F" w:rsidR="53D7BAAA">
              <w:rPr>
                <w:b w:val="0"/>
                <w:bCs w:val="0"/>
                <w:lang w:val="en-CA"/>
              </w:rPr>
              <w:t xml:space="preserve"> a group discussion on the topic of filtering and routing requirements at their home units, as well as operational </w:t>
            </w:r>
            <w:r w:rsidRPr="32C7804F" w:rsidR="7E7820C6">
              <w:rPr>
                <w:b w:val="0"/>
                <w:bCs w:val="0"/>
                <w:lang w:val="en-CA"/>
              </w:rPr>
              <w:t>experience</w:t>
            </w:r>
            <w:r w:rsidRPr="32C7804F" w:rsidR="53D7BAAA">
              <w:rPr>
                <w:b w:val="0"/>
                <w:bCs w:val="0"/>
                <w:lang w:val="en-CA"/>
              </w:rPr>
              <w:t xml:space="preserve">. The intent is to </w:t>
            </w:r>
            <w:r w:rsidRPr="32C7804F" w:rsidR="13E1F291">
              <w:rPr>
                <w:b w:val="0"/>
                <w:bCs w:val="0"/>
                <w:lang w:val="en-CA"/>
              </w:rPr>
              <w:t>discuss</w:t>
            </w:r>
            <w:r w:rsidRPr="32C7804F" w:rsidR="53D7BAAA">
              <w:rPr>
                <w:b w:val="0"/>
                <w:bCs w:val="0"/>
                <w:lang w:val="en-CA"/>
              </w:rPr>
              <w:t xml:space="preserve"> how filters and routing are used to shape operations in an MTA </w:t>
            </w:r>
            <w:r w:rsidRPr="32C7804F" w:rsidR="7F59356F">
              <w:rPr>
                <w:b w:val="0"/>
                <w:bCs w:val="0"/>
                <w:lang w:val="en-CA"/>
              </w:rPr>
              <w:t>environment.</w:t>
            </w:r>
            <w:r w:rsidRPr="32C7804F" w:rsidR="6D22D8B6">
              <w:rPr>
                <w:b w:val="0"/>
                <w:bCs w:val="0"/>
                <w:lang w:val="en-CA"/>
              </w:rPr>
              <w:t xml:space="preserve"> The lesson will instruct how the OTL is used to establish the routing and filtering requirements.</w:t>
            </w:r>
          </w:p>
          <w:p w:rsidRPr="00E70B70" w:rsidR="001C1E78" w:rsidP="32C7804F" w:rsidRDefault="001C1E78" w14:paraId="1725E051" w14:textId="0BCDB9EA">
            <w:pPr>
              <w:pStyle w:val="Normal"/>
              <w:rPr>
                <w:b w:val="0"/>
                <w:bCs w:val="0"/>
                <w:lang w:val="en-CA"/>
              </w:rPr>
            </w:pPr>
          </w:p>
          <w:p w:rsidRPr="00E70B70" w:rsidR="001C1E78" w:rsidP="32C7804F" w:rsidRDefault="001C1E78" w14:paraId="57E5C4A5" w14:textId="54CA4324">
            <w:pPr>
              <w:pStyle w:val="Normal"/>
              <w:rPr>
                <w:b w:val="1"/>
                <w:bCs w:val="1"/>
                <w:lang w:val="en-CA"/>
              </w:rPr>
            </w:pPr>
            <w:r w:rsidRPr="32C7804F" w:rsidR="3F06972C">
              <w:rPr>
                <w:b w:val="1"/>
                <w:bCs w:val="1"/>
                <w:lang w:val="en-CA"/>
              </w:rPr>
              <w:t xml:space="preserve">Activity - </w:t>
            </w:r>
          </w:p>
          <w:p w:rsidRPr="00E70B70" w:rsidR="001C1E78" w:rsidP="32C7804F" w:rsidRDefault="001C1E78" w14:paraId="49EBCBE9" w14:textId="5C4E196B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32C7804F" w:rsidR="15249C5F">
              <w:rPr>
                <w:b w:val="0"/>
                <w:bCs w:val="0"/>
                <w:lang w:val="en-CA"/>
              </w:rPr>
              <w:t xml:space="preserve">The instructor will point out the relevant </w:t>
            </w:r>
            <w:r w:rsidRPr="32C7804F" w:rsidR="44D88A67">
              <w:rPr>
                <w:b w:val="0"/>
                <w:bCs w:val="0"/>
                <w:lang w:val="en-CA"/>
              </w:rPr>
              <w:t>material</w:t>
            </w:r>
            <w:r w:rsidRPr="32C7804F" w:rsidR="15249C5F">
              <w:rPr>
                <w:b w:val="0"/>
                <w:bCs w:val="0"/>
                <w:lang w:val="en-CA"/>
              </w:rPr>
              <w:t xml:space="preserve"> in the TDL 200 </w:t>
            </w:r>
            <w:r w:rsidRPr="32C7804F" w:rsidR="5852B348">
              <w:rPr>
                <w:b w:val="0"/>
                <w:bCs w:val="0"/>
                <w:lang w:val="en-CA"/>
              </w:rPr>
              <w:t>Workbook and</w:t>
            </w:r>
            <w:r w:rsidRPr="32C7804F" w:rsidR="15249C5F">
              <w:rPr>
                <w:b w:val="0"/>
                <w:bCs w:val="0"/>
                <w:lang w:val="en-CA"/>
              </w:rPr>
              <w:t xml:space="preserve"> reference the TDL 200 Training OTL, and the trainee’s developed MT</w:t>
            </w:r>
            <w:r w:rsidRPr="32C7804F" w:rsidR="670D0A1F">
              <w:rPr>
                <w:b w:val="0"/>
                <w:bCs w:val="0"/>
                <w:lang w:val="en-CA"/>
              </w:rPr>
              <w:t>A</w:t>
            </w:r>
            <w:r w:rsidRPr="32C7804F" w:rsidR="15249C5F">
              <w:rPr>
                <w:b w:val="0"/>
                <w:bCs w:val="0"/>
                <w:lang w:val="en-CA"/>
              </w:rPr>
              <w:t xml:space="preserve"> for reference.</w:t>
            </w:r>
          </w:p>
          <w:p w:rsidRPr="00E70B70" w:rsidR="001C1E78" w:rsidP="32C7804F" w:rsidRDefault="001C1E78" w14:paraId="76020BCF" w14:textId="602EE103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32C7804F" w:rsidR="15249C5F">
              <w:rPr>
                <w:b w:val="0"/>
                <w:bCs w:val="0"/>
                <w:lang w:val="en-CA"/>
              </w:rPr>
              <w:t>The instructor will lead an interactive lecture to teach the Learning Objectives identified.</w:t>
            </w:r>
          </w:p>
          <w:p w:rsidRPr="00E70B70" w:rsidR="001C1E78" w:rsidP="32C7804F" w:rsidRDefault="001C1E78" w14:paraId="2DB07D7E" w14:textId="07BC4C7F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32C7804F" w:rsidR="15249C5F">
              <w:rPr>
                <w:b w:val="0"/>
                <w:bCs w:val="0"/>
                <w:lang w:val="en-CA"/>
              </w:rPr>
              <w:t>The instructor will lead a think</w:t>
            </w:r>
            <w:r w:rsidRPr="32C7804F" w:rsidR="4A90196D">
              <w:rPr>
                <w:b w:val="0"/>
                <w:bCs w:val="0"/>
                <w:lang w:val="en-CA"/>
              </w:rPr>
              <w:t>-</w:t>
            </w:r>
            <w:r w:rsidRPr="32C7804F" w:rsidR="15249C5F">
              <w:rPr>
                <w:b w:val="0"/>
                <w:bCs w:val="0"/>
                <w:lang w:val="en-CA"/>
              </w:rPr>
              <w:t>pair</w:t>
            </w:r>
            <w:r w:rsidRPr="32C7804F" w:rsidR="47B9C122">
              <w:rPr>
                <w:b w:val="0"/>
                <w:bCs w:val="0"/>
                <w:lang w:val="en-CA"/>
              </w:rPr>
              <w:t>-</w:t>
            </w:r>
            <w:r w:rsidRPr="32C7804F" w:rsidR="15249C5F">
              <w:rPr>
                <w:b w:val="0"/>
                <w:bCs w:val="0"/>
                <w:lang w:val="en-CA"/>
              </w:rPr>
              <w:t xml:space="preserve">share activity </w:t>
            </w:r>
            <w:r w:rsidRPr="32C7804F" w:rsidR="102D4A4A">
              <w:rPr>
                <w:b w:val="0"/>
                <w:bCs w:val="0"/>
                <w:lang w:val="en-CA"/>
              </w:rPr>
              <w:t xml:space="preserve">where the trainees will define the filtering and routing requirements for units within the trainee’s MTAs. </w:t>
            </w:r>
          </w:p>
          <w:p w:rsidRPr="00E70B70" w:rsidR="001C1E78" w:rsidP="32C7804F" w:rsidRDefault="001C1E78" w14:paraId="59B3E85A" w14:textId="6DC5FA94">
            <w:pPr>
              <w:pStyle w:val="Normal"/>
              <w:rPr>
                <w:b w:val="1"/>
                <w:bCs w:val="1"/>
                <w:lang w:val="en-CA"/>
              </w:rPr>
            </w:pPr>
          </w:p>
          <w:p w:rsidRPr="00E70B70" w:rsidR="001C1E78" w:rsidP="32C7804F" w:rsidRDefault="001C1E78" w14:paraId="29FF9941" w14:textId="3A5AD9C9">
            <w:pPr>
              <w:pStyle w:val="Normal"/>
              <w:rPr>
                <w:b w:val="1"/>
                <w:bCs w:val="1"/>
                <w:lang w:val="en-CA"/>
              </w:rPr>
            </w:pPr>
            <w:r w:rsidRPr="32C7804F" w:rsidR="3F06972C">
              <w:rPr>
                <w:b w:val="1"/>
                <w:bCs w:val="1"/>
                <w:lang w:val="en-CA"/>
              </w:rPr>
              <w:t xml:space="preserve">Conclusion - </w:t>
            </w:r>
          </w:p>
          <w:p w:rsidRPr="00E70B70" w:rsidR="001C1E78" w:rsidP="32C7804F" w:rsidRDefault="001C1E78" w14:paraId="5619916E" w14:textId="66C7A1BB">
            <w:pPr>
              <w:pStyle w:val="ListParagraph"/>
              <w:numPr>
                <w:ilvl w:val="0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32C7804F" w:rsidR="78276FBE">
              <w:rPr>
                <w:b w:val="0"/>
                <w:bCs w:val="0"/>
                <w:lang w:val="en-CA"/>
              </w:rPr>
              <w:t xml:space="preserve">The instructor will lead a group discussion to </w:t>
            </w:r>
            <w:r w:rsidRPr="32C7804F" w:rsidR="75713A21">
              <w:rPr>
                <w:b w:val="0"/>
                <w:bCs w:val="0"/>
                <w:lang w:val="en-CA"/>
              </w:rPr>
              <w:t xml:space="preserve">review </w:t>
            </w:r>
            <w:r w:rsidRPr="32C7804F" w:rsidR="78276FBE">
              <w:rPr>
                <w:b w:val="0"/>
                <w:bCs w:val="0"/>
                <w:lang w:val="en-CA"/>
              </w:rPr>
              <w:t xml:space="preserve">the output of the think-pair-share activity, to evaluate </w:t>
            </w:r>
            <w:r w:rsidRPr="32C7804F" w:rsidR="5EBB6B16">
              <w:rPr>
                <w:b w:val="0"/>
                <w:bCs w:val="0"/>
                <w:lang w:val="en-CA"/>
              </w:rPr>
              <w:t xml:space="preserve">the </w:t>
            </w:r>
            <w:r w:rsidRPr="32C7804F" w:rsidR="7E8E0622">
              <w:rPr>
                <w:b w:val="0"/>
                <w:bCs w:val="0"/>
                <w:lang w:val="en-CA"/>
              </w:rPr>
              <w:t>trainee</w:t>
            </w:r>
            <w:r w:rsidRPr="32C7804F" w:rsidR="668042F8">
              <w:rPr>
                <w:b w:val="0"/>
                <w:bCs w:val="0"/>
                <w:lang w:val="en-CA"/>
              </w:rPr>
              <w:t>’</w:t>
            </w:r>
            <w:r w:rsidRPr="32C7804F" w:rsidR="7E8E0622">
              <w:rPr>
                <w:b w:val="0"/>
                <w:bCs w:val="0"/>
                <w:lang w:val="en-CA"/>
              </w:rPr>
              <w:t>s construct</w:t>
            </w:r>
            <w:r w:rsidRPr="32C7804F" w:rsidR="3EEFDD66">
              <w:rPr>
                <w:b w:val="0"/>
                <w:bCs w:val="0"/>
                <w:lang w:val="en-CA"/>
              </w:rPr>
              <w:t>s</w:t>
            </w:r>
            <w:r w:rsidRPr="32C7804F" w:rsidR="7E8E0622">
              <w:rPr>
                <w:b w:val="0"/>
                <w:bCs w:val="0"/>
                <w:lang w:val="en-CA"/>
              </w:rPr>
              <w:t xml:space="preserve"> </w:t>
            </w:r>
            <w:r w:rsidRPr="32C7804F" w:rsidR="78276FBE">
              <w:rPr>
                <w:b w:val="0"/>
                <w:bCs w:val="0"/>
                <w:lang w:val="en-CA"/>
              </w:rPr>
              <w:t>for plausibility and correctness.</w:t>
            </w:r>
          </w:p>
        </w:tc>
      </w:tr>
      <w:tr w:rsidR="001C1E78" w:rsidTr="32C7804F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2C7804F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32C7804F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32C7804F" w:rsidRDefault="001C1E78" w14:paraId="0EB146A4" w14:textId="13FB32F5">
            <w:pPr>
              <w:rPr>
                <w:lang w:val="en-CA"/>
              </w:rPr>
            </w:pPr>
            <w:r w:rsidRPr="32C7804F" w:rsidR="001C1E78">
              <w:rPr>
                <w:lang w:val="en-CA"/>
              </w:rPr>
              <w:t>1)</w:t>
            </w:r>
            <w:r w:rsidRPr="32C7804F" w:rsidR="7FCD0ED1">
              <w:rPr>
                <w:lang w:val="en-CA"/>
              </w:rPr>
              <w:t xml:space="preserve"> Ppt Presentation</w:t>
            </w:r>
          </w:p>
          <w:p w:rsidRPr="004178B8" w:rsidR="001C1E78" w:rsidP="32C7804F" w:rsidRDefault="001C1E78" w14:paraId="5FC54B3E" w14:textId="6BFA5328">
            <w:pPr>
              <w:rPr>
                <w:lang w:val="en-CA"/>
              </w:rPr>
            </w:pPr>
            <w:r w:rsidRPr="32C7804F" w:rsidR="001C1E78">
              <w:rPr>
                <w:lang w:val="en-CA"/>
              </w:rPr>
              <w:t xml:space="preserve">2) </w:t>
            </w:r>
            <w:r w:rsidRPr="32C7804F" w:rsidR="55B351B2">
              <w:rPr>
                <w:lang w:val="en-CA"/>
              </w:rPr>
              <w:t>TDL 200 Workbook</w:t>
            </w:r>
          </w:p>
          <w:p w:rsidRPr="004178B8" w:rsidR="001C1E78" w:rsidP="32C7804F" w:rsidRDefault="001C1E78" w14:paraId="2FF769E4" w14:textId="32AD8B4C">
            <w:pPr>
              <w:pStyle w:val="Normal"/>
              <w:rPr>
                <w:lang w:val="en-CA"/>
              </w:rPr>
            </w:pPr>
            <w:r w:rsidRPr="32C7804F" w:rsidR="55B351B2">
              <w:rPr>
                <w:lang w:val="en-CA"/>
              </w:rPr>
              <w:t>3) Training OTL</w:t>
            </w:r>
          </w:p>
          <w:p w:rsidRPr="004178B8" w:rsidR="001C1E78" w:rsidP="32C7804F" w:rsidRDefault="001C1E78" w14:paraId="41EFC28B" w14:textId="2BF7A999">
            <w:pPr>
              <w:pStyle w:val="Normal"/>
              <w:rPr>
                <w:lang w:val="en-CA"/>
              </w:rPr>
            </w:pPr>
            <w:r w:rsidRPr="32C7804F" w:rsidR="6345DB39">
              <w:rPr>
                <w:lang w:val="en-CA"/>
              </w:rPr>
              <w:t>4) Trainee developed MTA from LO 003.02.01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32C7804F" w:rsidRDefault="001C1E78" w14:paraId="2607147B" w14:textId="2BF67422">
            <w:pPr>
              <w:rPr>
                <w:lang w:val="en-CA"/>
              </w:rPr>
            </w:pPr>
            <w:r w:rsidRPr="32C7804F" w:rsidR="001C1E78">
              <w:rPr>
                <w:lang w:val="en-CA"/>
              </w:rPr>
              <w:t>1</w:t>
            </w:r>
            <w:r w:rsidRPr="32C7804F" w:rsidR="001C1E78">
              <w:rPr>
                <w:lang w:val="en-CA"/>
              </w:rPr>
              <w:t>)</w:t>
            </w:r>
            <w:r w:rsidRPr="32C7804F" w:rsidR="025DEB37">
              <w:rPr>
                <w:lang w:val="en-CA"/>
              </w:rPr>
              <w:t xml:space="preserve"> AIT Manual</w:t>
            </w:r>
          </w:p>
          <w:p w:rsidRPr="004178B8" w:rsidR="001C1E78" w:rsidP="32C7804F" w:rsidRDefault="001C1E78" w14:paraId="78A97F2F" w14:textId="018F6862">
            <w:pPr>
              <w:rPr>
                <w:lang w:val="en-CA"/>
              </w:rPr>
            </w:pPr>
            <w:r w:rsidRPr="32C7804F" w:rsidR="001C1E78">
              <w:rPr>
                <w:lang w:val="en-CA"/>
              </w:rPr>
              <w:t>2</w:t>
            </w:r>
            <w:r w:rsidRPr="32C7804F" w:rsidR="001C1E78">
              <w:rPr>
                <w:lang w:val="en-CA"/>
              </w:rPr>
              <w:t>)</w:t>
            </w:r>
            <w:r w:rsidRPr="32C7804F" w:rsidR="28023483">
              <w:rPr>
                <w:lang w:val="en-CA"/>
              </w:rPr>
              <w:t xml:space="preserve"> APP 11(D)(1)</w:t>
            </w:r>
          </w:p>
        </w:tc>
      </w:tr>
      <w:tr w:rsidR="001C1E78" w:rsidTr="32C7804F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32C7804F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32C7804F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5DEB37"/>
    <w:rsid w:val="0653602B"/>
    <w:rsid w:val="06EF7B48"/>
    <w:rsid w:val="07855918"/>
    <w:rsid w:val="087568C8"/>
    <w:rsid w:val="08B94C4C"/>
    <w:rsid w:val="09098D5B"/>
    <w:rsid w:val="0C3BFE5C"/>
    <w:rsid w:val="0CF7D49E"/>
    <w:rsid w:val="0F671A83"/>
    <w:rsid w:val="0F8687F7"/>
    <w:rsid w:val="0FBB36C9"/>
    <w:rsid w:val="1019A83D"/>
    <w:rsid w:val="102D4A4A"/>
    <w:rsid w:val="116A19BF"/>
    <w:rsid w:val="13BD5AF1"/>
    <w:rsid w:val="13E1F291"/>
    <w:rsid w:val="1510FDC5"/>
    <w:rsid w:val="15249C5F"/>
    <w:rsid w:val="15BACD4D"/>
    <w:rsid w:val="17BA5642"/>
    <w:rsid w:val="187A5162"/>
    <w:rsid w:val="18EDEB8C"/>
    <w:rsid w:val="19279EAB"/>
    <w:rsid w:val="19637924"/>
    <w:rsid w:val="197CA181"/>
    <w:rsid w:val="1A270604"/>
    <w:rsid w:val="1A448937"/>
    <w:rsid w:val="1AA67111"/>
    <w:rsid w:val="1C41467C"/>
    <w:rsid w:val="1CB7A019"/>
    <w:rsid w:val="1D4C6B3F"/>
    <w:rsid w:val="1E089AE0"/>
    <w:rsid w:val="1EBE0E57"/>
    <w:rsid w:val="1EC59A82"/>
    <w:rsid w:val="1F7F7BDA"/>
    <w:rsid w:val="1FEBE305"/>
    <w:rsid w:val="2215BF62"/>
    <w:rsid w:val="22DA997F"/>
    <w:rsid w:val="237C01E2"/>
    <w:rsid w:val="244FF5FB"/>
    <w:rsid w:val="24D201A4"/>
    <w:rsid w:val="253FBD00"/>
    <w:rsid w:val="261CA5EC"/>
    <w:rsid w:val="261E7005"/>
    <w:rsid w:val="26D12094"/>
    <w:rsid w:val="28023483"/>
    <w:rsid w:val="28659D4D"/>
    <w:rsid w:val="29BDCA8F"/>
    <w:rsid w:val="2A090E11"/>
    <w:rsid w:val="2A4A5992"/>
    <w:rsid w:val="2A4D6DA0"/>
    <w:rsid w:val="2B9BA626"/>
    <w:rsid w:val="2C13E4EF"/>
    <w:rsid w:val="2E466C15"/>
    <w:rsid w:val="2EC274AE"/>
    <w:rsid w:val="2F40D104"/>
    <w:rsid w:val="30B916C6"/>
    <w:rsid w:val="317373FC"/>
    <w:rsid w:val="32C7804F"/>
    <w:rsid w:val="337789D8"/>
    <w:rsid w:val="33A06459"/>
    <w:rsid w:val="33BF3F51"/>
    <w:rsid w:val="34BFFEE6"/>
    <w:rsid w:val="34ED6814"/>
    <w:rsid w:val="365A1340"/>
    <w:rsid w:val="37A04FE8"/>
    <w:rsid w:val="3B2F2838"/>
    <w:rsid w:val="3C104AE8"/>
    <w:rsid w:val="3D19655B"/>
    <w:rsid w:val="3DC311F3"/>
    <w:rsid w:val="3EEFDD66"/>
    <w:rsid w:val="3F06972C"/>
    <w:rsid w:val="4079D0BA"/>
    <w:rsid w:val="41A2C023"/>
    <w:rsid w:val="42968316"/>
    <w:rsid w:val="449DCDCE"/>
    <w:rsid w:val="44D88A67"/>
    <w:rsid w:val="45CB8533"/>
    <w:rsid w:val="47661AEF"/>
    <w:rsid w:val="47AE98EF"/>
    <w:rsid w:val="47B9C122"/>
    <w:rsid w:val="4946BABA"/>
    <w:rsid w:val="494FDAF5"/>
    <w:rsid w:val="4951FAD5"/>
    <w:rsid w:val="4994A9AB"/>
    <w:rsid w:val="4A90196D"/>
    <w:rsid w:val="4AC927C3"/>
    <w:rsid w:val="4B22FD6B"/>
    <w:rsid w:val="4C7CBA24"/>
    <w:rsid w:val="4D93CBC8"/>
    <w:rsid w:val="50AB8C05"/>
    <w:rsid w:val="50C6DFA9"/>
    <w:rsid w:val="53D7BAAA"/>
    <w:rsid w:val="55B351B2"/>
    <w:rsid w:val="5820A980"/>
    <w:rsid w:val="5852B348"/>
    <w:rsid w:val="58ADD460"/>
    <w:rsid w:val="58F5D14A"/>
    <w:rsid w:val="59C5DEDB"/>
    <w:rsid w:val="5C93054E"/>
    <w:rsid w:val="5CB7CE79"/>
    <w:rsid w:val="5CB8EF45"/>
    <w:rsid w:val="5D691FD5"/>
    <w:rsid w:val="5E3605D3"/>
    <w:rsid w:val="5EBB6B16"/>
    <w:rsid w:val="6039904A"/>
    <w:rsid w:val="60CE9B09"/>
    <w:rsid w:val="6345DB39"/>
    <w:rsid w:val="63C74301"/>
    <w:rsid w:val="65B34049"/>
    <w:rsid w:val="65FEF3C8"/>
    <w:rsid w:val="668042F8"/>
    <w:rsid w:val="670D0A1F"/>
    <w:rsid w:val="6972C07C"/>
    <w:rsid w:val="6A0770D1"/>
    <w:rsid w:val="6AA3795B"/>
    <w:rsid w:val="6AA46D40"/>
    <w:rsid w:val="6B2EF0CC"/>
    <w:rsid w:val="6BA05132"/>
    <w:rsid w:val="6C26215F"/>
    <w:rsid w:val="6CEF1406"/>
    <w:rsid w:val="6D22D8B6"/>
    <w:rsid w:val="6D2B1F29"/>
    <w:rsid w:val="6D5ED480"/>
    <w:rsid w:val="6DC1F1C0"/>
    <w:rsid w:val="6E94AAB5"/>
    <w:rsid w:val="6F378888"/>
    <w:rsid w:val="6F748C2E"/>
    <w:rsid w:val="6FB58830"/>
    <w:rsid w:val="74584E3E"/>
    <w:rsid w:val="748FEEA8"/>
    <w:rsid w:val="74B1CE06"/>
    <w:rsid w:val="750ECBA3"/>
    <w:rsid w:val="75713A21"/>
    <w:rsid w:val="75D86C35"/>
    <w:rsid w:val="763C9D60"/>
    <w:rsid w:val="766B6112"/>
    <w:rsid w:val="774EA1D4"/>
    <w:rsid w:val="78276FBE"/>
    <w:rsid w:val="78890FEA"/>
    <w:rsid w:val="78C9D66D"/>
    <w:rsid w:val="7974B187"/>
    <w:rsid w:val="7A118FB7"/>
    <w:rsid w:val="7AF32E41"/>
    <w:rsid w:val="7BD96031"/>
    <w:rsid w:val="7C3C4529"/>
    <w:rsid w:val="7C4432AF"/>
    <w:rsid w:val="7D30081C"/>
    <w:rsid w:val="7DE4C694"/>
    <w:rsid w:val="7E7820C6"/>
    <w:rsid w:val="7E814D39"/>
    <w:rsid w:val="7E8E0622"/>
    <w:rsid w:val="7F59356F"/>
    <w:rsid w:val="7FCD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Blindback Sgt TJ@21 AC&amp;W Sqn CADS Ops@Defence O365</lastModifiedBy>
  <revision>3</revision>
  <lastPrinted>2018-04-19T15:20:00.0000000Z</lastPrinted>
  <dcterms:created xsi:type="dcterms:W3CDTF">2021-01-29T16:31:00.0000000Z</dcterms:created>
  <dcterms:modified xsi:type="dcterms:W3CDTF">2021-02-10T17:43:24.9735745Z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