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3376C106" w:rsidP="42E95F56" w:rsidRDefault="3376C106" w14:paraId="40D505C2" w14:textId="11E2A62D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sz w:val="32"/>
          <w:szCs w:val="32"/>
        </w:rPr>
      </w:pPr>
      <w:r w:rsidRPr="42E95F56" w:rsidR="3376C106">
        <w:rPr>
          <w:sz w:val="32"/>
          <w:szCs w:val="32"/>
        </w:rPr>
        <w:t xml:space="preserve">EO </w:t>
      </w:r>
      <w:r w:rsidRPr="42E95F56" w:rsidR="517113AA">
        <w:rPr>
          <w:sz w:val="32"/>
          <w:szCs w:val="32"/>
        </w:rPr>
        <w:t>001</w:t>
      </w:r>
      <w:r w:rsidRPr="42E95F56" w:rsidR="3376C106">
        <w:rPr>
          <w:sz w:val="32"/>
          <w:szCs w:val="32"/>
        </w:rPr>
        <w:t>.</w:t>
      </w:r>
      <w:r w:rsidRPr="42E95F56" w:rsidR="59EC1BC5">
        <w:rPr>
          <w:sz w:val="32"/>
          <w:szCs w:val="32"/>
        </w:rPr>
        <w:t>07</w:t>
      </w:r>
      <w:r w:rsidRPr="42E95F56" w:rsidR="4240AA33">
        <w:rPr>
          <w:sz w:val="32"/>
          <w:szCs w:val="32"/>
        </w:rPr>
        <w:t xml:space="preserve"> - Analyze TDL Gateways</w:t>
      </w:r>
    </w:p>
    <w:p w:rsidRPr="00976FCC" w:rsidR="001C1E78" w:rsidP="001C1E78" w:rsidRDefault="00A23F24" w14:paraId="7C8C15C1" w14:textId="1BEFDF20">
      <w:pPr>
        <w:pStyle w:val="Style1"/>
        <w:rPr>
          <w:rFonts w:ascii="Times New Roman" w:hAnsi="Times New Roman" w:cs="Times New Roman"/>
        </w:rPr>
      </w:pPr>
      <w:r w:rsidRPr="42E95F56" w:rsidR="4240AA33">
        <w:rPr>
          <w:rFonts w:ascii="Times New Roman" w:hAnsi="Times New Roman" w:cs="Times New Roman"/>
        </w:rPr>
        <w:t>001.07.02</w:t>
      </w:r>
      <w:r w:rsidRPr="42E95F56" w:rsidR="3376C106">
        <w:rPr>
          <w:rFonts w:ascii="Times New Roman" w:hAnsi="Times New Roman" w:cs="Times New Roman"/>
        </w:rPr>
        <w:t xml:space="preserve"> - </w:t>
      </w:r>
      <w:r w:rsidRPr="42E95F56" w:rsidR="77562CF2">
        <w:rPr>
          <w:rFonts w:ascii="Times New Roman" w:hAnsi="Times New Roman" w:cs="Times New Roman"/>
        </w:rPr>
        <w:t>Recognize Translation Issues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42E95F56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42E95F56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42E95F56" w:rsidRDefault="001C1E78" w14:paraId="70F63B5A" w14:textId="76A19FAD">
            <w:pPr>
              <w:rPr>
                <w:lang w:val="en-CA"/>
              </w:rPr>
            </w:pPr>
            <w:r w:rsidRPr="42E95F56" w:rsidR="13BF2945">
              <w:rPr>
                <w:lang w:val="en-CA"/>
              </w:rPr>
              <w:t>Classroom with Workstations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42E95F56" w:rsidRDefault="001C1E78" w14:paraId="314FD918" w14:textId="464A0877">
            <w:pPr>
              <w:rPr>
                <w:lang w:val="en-CA"/>
              </w:rPr>
            </w:pPr>
            <w:r w:rsidRPr="42E95F56" w:rsidR="13BF2945">
              <w:rPr>
                <w:lang w:val="en-CA"/>
              </w:rPr>
              <w:t>After LO 001.07.01</w:t>
            </w:r>
          </w:p>
        </w:tc>
      </w:tr>
      <w:tr w:rsidR="001C1E78" w:rsidTr="42E95F56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42E95F56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42E95F56" w:rsidRDefault="001C1E78" w14:paraId="03B7F4D5" w14:textId="56446E80">
            <w:pPr>
              <w:rPr>
                <w:lang w:val="en-CA"/>
              </w:rPr>
            </w:pPr>
            <w:r w:rsidRPr="42E95F56" w:rsidR="0BA3912A">
              <w:rPr>
                <w:lang w:val="en-CA"/>
              </w:rPr>
              <w:t>50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42E95F56" w:rsidRDefault="001C1E78" w14:paraId="433845DA" w14:textId="432E39F1">
            <w:pPr>
              <w:rPr>
                <w:lang w:val="en-CA"/>
              </w:rPr>
            </w:pPr>
            <w:r w:rsidRPr="42E95F56" w:rsidR="0BA3912A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42E95F56" w:rsidRDefault="001C1E78" w14:paraId="60DC980E" w14:textId="6C901631">
            <w:pPr>
              <w:rPr>
                <w:lang w:val="en-CA"/>
              </w:rPr>
            </w:pPr>
            <w:r w:rsidRPr="42E95F56" w:rsidR="0BA3912A">
              <w:rPr>
                <w:lang w:val="en-CA"/>
              </w:rPr>
              <w:t>TDL 300 Qualified Instructor</w:t>
            </w:r>
          </w:p>
        </w:tc>
      </w:tr>
      <w:tr w:rsidR="001C1E78" w:rsidTr="42E95F56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42E95F56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42E95F56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42E95F56" w:rsidRDefault="001C1E78" w14:paraId="300F3A50" w14:textId="3DC7903E">
            <w:pPr>
              <w:rPr>
                <w:lang w:val="en-CA"/>
              </w:rPr>
            </w:pPr>
            <w:r w:rsidRPr="42E95F56" w:rsidR="3376C106">
              <w:rPr>
                <w:lang w:val="en-CA"/>
              </w:rPr>
              <w:t>1)</w:t>
            </w:r>
            <w:r w:rsidRPr="42E95F56" w:rsidR="0F8173F3">
              <w:rPr>
                <w:lang w:val="en-CA"/>
              </w:rPr>
              <w:t xml:space="preserve"> </w:t>
            </w:r>
            <w:r w:rsidRPr="42E95F56" w:rsidR="31B6810F">
              <w:rPr>
                <w:lang w:val="en-CA"/>
              </w:rPr>
              <w:t>Describe</w:t>
            </w:r>
            <w:r w:rsidRPr="42E95F56" w:rsidR="14435B67">
              <w:rPr>
                <w:lang w:val="en-CA"/>
              </w:rPr>
              <w:t xml:space="preserve"> </w:t>
            </w:r>
            <w:r w:rsidRPr="42E95F56" w:rsidR="0F8173F3">
              <w:rPr>
                <w:lang w:val="en-CA"/>
              </w:rPr>
              <w:t>Data Forwarding Translation</w:t>
            </w:r>
          </w:p>
          <w:p w:rsidRPr="004178B8" w:rsidR="001C1E78" w:rsidP="42E95F56" w:rsidRDefault="001C1E78" w14:paraId="6208E7CC" w14:textId="213FD6B4">
            <w:pPr>
              <w:rPr>
                <w:lang w:val="en-CA"/>
              </w:rPr>
            </w:pPr>
            <w:r w:rsidRPr="42E95F56" w:rsidR="3376C106">
              <w:rPr>
                <w:lang w:val="en-CA"/>
              </w:rPr>
              <w:t xml:space="preserve">2) </w:t>
            </w:r>
            <w:r w:rsidRPr="42E95F56" w:rsidR="695C0674">
              <w:rPr>
                <w:lang w:val="en-CA"/>
              </w:rPr>
              <w:t xml:space="preserve">Describe </w:t>
            </w:r>
            <w:r w:rsidRPr="42E95F56" w:rsidR="3DC5F8C3">
              <w:rPr>
                <w:lang w:val="en-CA"/>
              </w:rPr>
              <w:t>Direct vs. Indirect PPLIs</w:t>
            </w:r>
          </w:p>
          <w:p w:rsidRPr="004178B8" w:rsidR="001C1E78" w:rsidP="42E95F56" w:rsidRDefault="001C1E78" w14:paraId="3C7E2288" w14:textId="6B6BB54C">
            <w:pPr>
              <w:pStyle w:val="Normal"/>
              <w:rPr>
                <w:lang w:val="en-CA"/>
              </w:rPr>
            </w:pPr>
            <w:r w:rsidRPr="42E95F56" w:rsidR="577FDA4F">
              <w:rPr>
                <w:lang w:val="en-CA"/>
              </w:rPr>
              <w:t>3) Describe Real time and Non-real time data</w:t>
            </w:r>
          </w:p>
          <w:p w:rsidRPr="004178B8" w:rsidR="001C1E78" w:rsidP="42E95F56" w:rsidRDefault="001C1E78" w14:paraId="533CDBF0" w14:textId="1AD73616">
            <w:pPr>
              <w:pStyle w:val="Normal"/>
              <w:rPr>
                <w:lang w:val="en-CA"/>
              </w:rPr>
            </w:pP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42E95F56" w:rsidRDefault="001C1E78" w14:paraId="7A2D8A98" w14:textId="4BFDA79E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42E95F56" w:rsidR="577FDA4F">
              <w:rPr>
                <w:lang w:val="en-CA"/>
              </w:rPr>
              <w:t>Group Discussion</w:t>
            </w:r>
          </w:p>
          <w:p w:rsidRPr="00ED7D0A" w:rsidR="001C1E78" w:rsidP="42E95F56" w:rsidRDefault="001C1E78" w14:paraId="41067478" w14:textId="299D670B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42E95F56" w:rsidR="5500AA0F">
              <w:rPr>
                <w:lang w:val="en-CA"/>
              </w:rPr>
              <w:t>Group Activity</w:t>
            </w:r>
          </w:p>
          <w:p w:rsidRPr="00ED7D0A" w:rsidR="001C1E78" w:rsidP="42E95F56" w:rsidRDefault="001C1E78" w14:paraId="2AC185AC" w14:textId="4B367B08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42E95F56" w:rsidR="577FDA4F">
              <w:rPr>
                <w:lang w:val="en-CA"/>
              </w:rPr>
              <w:t>Interactive Lecture</w:t>
            </w:r>
          </w:p>
          <w:p w:rsidRPr="00ED7D0A" w:rsidR="001C1E78" w:rsidP="42E95F56" w:rsidRDefault="001C1E78" w14:paraId="60CE6DF6" w14:textId="0148D8B3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42E95F56" w:rsidR="577FDA4F">
              <w:rPr>
                <w:lang w:val="en-CA"/>
              </w:rPr>
              <w:t>Best Summary</w:t>
            </w:r>
          </w:p>
        </w:tc>
      </w:tr>
      <w:tr w:rsidR="001C1E78" w:rsidTr="42E95F56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42E95F56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20F0C74C">
            <w:pPr>
              <w:rPr>
                <w:lang w:val="en-CA"/>
              </w:rPr>
            </w:pPr>
            <w:r w:rsidRPr="42E95F56" w:rsidR="0286C529">
              <w:rPr>
                <w:lang w:val="en-CA"/>
              </w:rPr>
              <w:t>Nil</w:t>
            </w:r>
          </w:p>
        </w:tc>
      </w:tr>
      <w:tr w:rsidR="001C1E78" w:rsidTr="42E95F56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6E911AD4" w:rsidP="42E95F56" w:rsidRDefault="6E911AD4" w14:paraId="713BC43D" w14:textId="387951E7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2E95F56" w:rsidR="6E911AD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Introduction - </w:t>
            </w:r>
          </w:p>
          <w:p w:rsidR="42E95F56" w:rsidP="42E95F56" w:rsidRDefault="42E95F56" w14:paraId="7911E34D" w14:textId="31BBABB3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6E911AD4" w:rsidP="42E95F56" w:rsidRDefault="6E911AD4" w14:paraId="48E98915" w14:textId="22408540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2E95F56" w:rsidR="6E911A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open the lesson by hosting a group discussion talking about the telephone game, where whenever information is</w:t>
            </w:r>
            <w:r w:rsidRPr="42E95F56" w:rsidR="42AAB3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passed from person to person, it gets more and more unclear. The instructor can also talk about converting music or video, quality is always lost.</w:t>
            </w:r>
          </w:p>
          <w:p w:rsidR="42E95F56" w:rsidP="42E95F56" w:rsidRDefault="42E95F56" w14:paraId="0CDFAC87" w14:textId="6DF32252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6E911AD4" w:rsidP="42E95F56" w:rsidRDefault="6E911AD4" w14:paraId="412F73FB" w14:textId="32E9615C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2E95F56" w:rsidR="6E911AD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Activity - </w:t>
            </w:r>
          </w:p>
          <w:p w:rsidR="42E95F56" w:rsidP="42E95F56" w:rsidRDefault="42E95F56" w14:paraId="69438D54" w14:textId="36F0D09A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6E911AD4" w:rsidP="42E95F56" w:rsidRDefault="6E911AD4" w14:paraId="334F6671" w14:textId="7FB0A2D2">
            <w:pPr>
              <w:pStyle w:val="ListParagraph"/>
              <w:numPr>
                <w:ilvl w:val="0"/>
                <w:numId w:val="15"/>
              </w:numPr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2E95F56" w:rsidR="6E911A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draw attention to the TDL Gateways and Routers section of the TDL 200 Workbook</w:t>
            </w:r>
          </w:p>
          <w:p w:rsidR="6E911AD4" w:rsidP="42E95F56" w:rsidRDefault="6E911AD4" w14:paraId="11E794AB" w14:textId="1D9D0740">
            <w:pPr>
              <w:pStyle w:val="ListParagraph"/>
              <w:numPr>
                <w:ilvl w:val="0"/>
                <w:numId w:val="15"/>
              </w:numPr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2E95F56" w:rsidR="6E911A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instructor will deliver an interactive lecture using the PowerPoint Presentation</w:t>
            </w:r>
          </w:p>
          <w:p w:rsidR="6E911AD4" w:rsidP="42E95F56" w:rsidRDefault="6E911AD4" w14:paraId="61E8F033" w14:textId="4F8FCD9D">
            <w:pPr>
              <w:pStyle w:val="ListParagraph"/>
              <w:numPr>
                <w:ilvl w:val="0"/>
                <w:numId w:val="15"/>
              </w:numPr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2E95F56" w:rsidR="6E911A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At completion of the slide deck, the instructor will conduct a best summary of the lesson</w:t>
            </w:r>
          </w:p>
          <w:p w:rsidR="42E95F56" w:rsidP="42E95F56" w:rsidRDefault="42E95F56" w14:paraId="3F3FB1F9" w14:textId="690054A4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6E911AD4" w:rsidP="42E95F56" w:rsidRDefault="6E911AD4" w14:paraId="444BD03E" w14:textId="75B21A52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2E95F56" w:rsidR="6E911AD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Conclusion - </w:t>
            </w:r>
          </w:p>
          <w:p w:rsidR="42E95F56" w:rsidP="42E95F56" w:rsidRDefault="42E95F56" w14:paraId="12B093B2" w14:textId="3C75E90B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</w:p>
          <w:p w:rsidR="6E911AD4" w:rsidP="42E95F56" w:rsidRDefault="6E911AD4" w14:paraId="1441A8EF" w14:textId="07BCE748">
            <w:pPr>
              <w:pStyle w:val="ListParagraph"/>
              <w:numPr>
                <w:ilvl w:val="0"/>
                <w:numId w:val="15"/>
              </w:numPr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2E95F56" w:rsidR="6E911A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To conclude the lesson, the instructor wil</w:t>
            </w:r>
            <w:r w:rsidRPr="42E95F56" w:rsidR="5258AD8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l conduct a </w:t>
            </w:r>
            <w:r w:rsidRPr="42E95F56" w:rsidR="318BBB4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best summary to summarize the teaching points of the lesson.</w:t>
            </w:r>
          </w:p>
          <w:p w:rsidR="318BBB47" w:rsidP="42E95F56" w:rsidRDefault="318BBB47" w14:paraId="185CDB4A" w14:textId="5D4E5BF5">
            <w:pPr>
              <w:pStyle w:val="ListParagraph"/>
              <w:numPr>
                <w:ilvl w:val="0"/>
                <w:numId w:val="15"/>
              </w:numPr>
              <w:ind w:right="0"/>
              <w:jc w:val="left"/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2E95F56" w:rsidR="318BBB4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The instructor will use </w:t>
            </w:r>
            <w:r w:rsidRPr="42E95F56" w:rsidR="25B104B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the Case Study in the PowerPoint Presentation to confirm learning.</w:t>
            </w:r>
          </w:p>
          <w:p w:rsidRPr="00E70B70" w:rsidR="001C1E78" w:rsidP="00FC5622" w:rsidRDefault="001C1E78" w14:paraId="5619916E" w14:textId="77777777">
            <w:pPr>
              <w:rPr>
                <w:lang w:val="en-CA"/>
              </w:rPr>
            </w:pPr>
          </w:p>
        </w:tc>
      </w:tr>
      <w:tr w:rsidR="001C1E78" w:rsidTr="42E95F56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42E95F56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42E95F56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42E95F56" w:rsidRDefault="001C1E78" w14:paraId="0EB146A4" w14:textId="6858D981">
            <w:pPr>
              <w:rPr>
                <w:lang w:val="en-CA"/>
              </w:rPr>
            </w:pPr>
            <w:r w:rsidRPr="42E95F56" w:rsidR="3376C106">
              <w:rPr>
                <w:lang w:val="en-CA"/>
              </w:rPr>
              <w:t>1)</w:t>
            </w:r>
            <w:r w:rsidRPr="42E95F56" w:rsidR="4965676B">
              <w:rPr>
                <w:lang w:val="en-CA"/>
              </w:rPr>
              <w:t>PowerPoint Slides</w:t>
            </w:r>
          </w:p>
          <w:p w:rsidRPr="004178B8" w:rsidR="001C1E78" w:rsidP="42E95F56" w:rsidRDefault="001C1E78" w14:paraId="6243D213" w14:textId="0B09C16D">
            <w:pPr>
              <w:rPr>
                <w:lang w:val="en-CA"/>
              </w:rPr>
            </w:pPr>
            <w:r w:rsidRPr="42E95F56" w:rsidR="3376C106">
              <w:rPr>
                <w:lang w:val="en-CA"/>
              </w:rPr>
              <w:t xml:space="preserve">2) </w:t>
            </w:r>
            <w:r w:rsidRPr="42E95F56" w:rsidR="60F6E634">
              <w:rPr>
                <w:lang w:val="en-CA"/>
              </w:rPr>
              <w:t>TDL 200 Workbook</w:t>
            </w:r>
          </w:p>
          <w:p w:rsidRPr="004178B8" w:rsidR="001C1E78" w:rsidP="42E95F56" w:rsidRDefault="001C1E78" w14:paraId="41EFC28B" w14:textId="59C72182">
            <w:pPr>
              <w:pStyle w:val="Normal"/>
              <w:rPr>
                <w:lang w:val="en-CA"/>
              </w:rPr>
            </w:pPr>
            <w:r w:rsidRPr="42E95F56" w:rsidR="60F6E634">
              <w:rPr>
                <w:lang w:val="en-CA"/>
              </w:rPr>
              <w:t>3) TDL Toolkit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Pr="004178B8" w:rsidR="001C1E78" w:rsidP="42E95F56" w:rsidRDefault="001C1E78" w14:paraId="6474ACA2" w14:textId="3D4877A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2E95F56" w:rsidR="2859014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1) MIL-STD 3011</w:t>
            </w:r>
          </w:p>
          <w:p w:rsidRPr="004178B8" w:rsidR="001C1E78" w:rsidP="42E95F56" w:rsidRDefault="001C1E78" w14:paraId="7680E61F" w14:textId="5B2A91B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2E95F56" w:rsidR="2859014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2) MIL-STD 3016</w:t>
            </w:r>
          </w:p>
          <w:p w:rsidRPr="004178B8" w:rsidR="001C1E78" w:rsidP="42E95F56" w:rsidRDefault="001C1E78" w14:paraId="7E392088" w14:textId="1F725B43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2E95F56" w:rsidR="2859014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3) MIL-STD 3022</w:t>
            </w:r>
          </w:p>
          <w:p w:rsidRPr="004178B8" w:rsidR="001C1E78" w:rsidP="42E95F56" w:rsidRDefault="001C1E78" w14:paraId="6A839AFE" w14:textId="09874B47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2E95F56" w:rsidR="2859014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4) MIL-STD 6011</w:t>
            </w:r>
          </w:p>
          <w:p w:rsidRPr="004178B8" w:rsidR="001C1E78" w:rsidP="42E95F56" w:rsidRDefault="001C1E78" w14:paraId="2771F1B0" w14:textId="4AE5D9F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2E95F56" w:rsidR="2859014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5) Equipment Operator Manuals</w:t>
            </w:r>
          </w:p>
          <w:p w:rsidRPr="004178B8" w:rsidR="001C1E78" w:rsidP="42E95F56" w:rsidRDefault="001C1E78" w14:paraId="78A97F2F" w14:textId="5B596C5E">
            <w:pPr>
              <w:pStyle w:val="Normal"/>
            </w:pPr>
            <w:r w:rsidRPr="42E95F56" w:rsidR="2859014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6) AIT Manual</w:t>
            </w:r>
          </w:p>
        </w:tc>
      </w:tr>
      <w:tr w:rsidR="001C1E78" w:rsidTr="42E95F56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42E95F56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42E95F56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42E95F56" w:rsidRDefault="001C1E78" w14:paraId="236AE97F" w14:textId="02A0673B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2E95F56" w:rsidR="43F19F6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Refer to AIT Manual for how to conduct AIT Techniques.</w:t>
            </w:r>
          </w:p>
          <w:p w:rsidRPr="00C21E62" w:rsidR="001C1E78" w:rsidP="42E95F56" w:rsidRDefault="001C1E78" w14:paraId="55A0B411" w14:textId="4D9350F6"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42E95F56" w:rsidR="43F19F6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Modify the Case Study for the element in the course.</w:t>
            </w:r>
          </w:p>
          <w:p w:rsidRPr="00C21E62" w:rsidR="001C1E78" w:rsidP="42E95F56" w:rsidRDefault="001C1E78" w14:paraId="6BC1E5B5" w14:textId="2D612783">
            <w:pPr>
              <w:pStyle w:val="Normal"/>
              <w:rPr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1AA896C"/>
    <w:rsid w:val="0286C529"/>
    <w:rsid w:val="033DA2F9"/>
    <w:rsid w:val="06921B79"/>
    <w:rsid w:val="072DF583"/>
    <w:rsid w:val="07855918"/>
    <w:rsid w:val="087568C8"/>
    <w:rsid w:val="08B94C4C"/>
    <w:rsid w:val="0BA3912A"/>
    <w:rsid w:val="0C3BFE5C"/>
    <w:rsid w:val="0D72966A"/>
    <w:rsid w:val="0F8173F3"/>
    <w:rsid w:val="0F85863B"/>
    <w:rsid w:val="0F8687F7"/>
    <w:rsid w:val="0FBB36C9"/>
    <w:rsid w:val="1019A83D"/>
    <w:rsid w:val="116A19BF"/>
    <w:rsid w:val="13BF2945"/>
    <w:rsid w:val="14435B67"/>
    <w:rsid w:val="1510FDC5"/>
    <w:rsid w:val="17BA5642"/>
    <w:rsid w:val="1837DC40"/>
    <w:rsid w:val="187A5162"/>
    <w:rsid w:val="18EDEB8C"/>
    <w:rsid w:val="1A270604"/>
    <w:rsid w:val="1A448937"/>
    <w:rsid w:val="1C41467C"/>
    <w:rsid w:val="1CB7A019"/>
    <w:rsid w:val="1D4C6B3F"/>
    <w:rsid w:val="1E089AE0"/>
    <w:rsid w:val="1EBE0E57"/>
    <w:rsid w:val="1F7F7BDA"/>
    <w:rsid w:val="2215BF62"/>
    <w:rsid w:val="22DA997F"/>
    <w:rsid w:val="237C01E2"/>
    <w:rsid w:val="244FF5FB"/>
    <w:rsid w:val="24D201A4"/>
    <w:rsid w:val="25B104BF"/>
    <w:rsid w:val="261CA5EC"/>
    <w:rsid w:val="261E7005"/>
    <w:rsid w:val="26D12094"/>
    <w:rsid w:val="28590142"/>
    <w:rsid w:val="28659D4D"/>
    <w:rsid w:val="286FE8D8"/>
    <w:rsid w:val="2A090E11"/>
    <w:rsid w:val="2A4A5992"/>
    <w:rsid w:val="2A4D6DA0"/>
    <w:rsid w:val="2B9BA626"/>
    <w:rsid w:val="2C13E4EF"/>
    <w:rsid w:val="2D97579E"/>
    <w:rsid w:val="2E466C15"/>
    <w:rsid w:val="2E5FB9BA"/>
    <w:rsid w:val="2EC274AE"/>
    <w:rsid w:val="30B916C6"/>
    <w:rsid w:val="313C6359"/>
    <w:rsid w:val="318BBB47"/>
    <w:rsid w:val="31B6810F"/>
    <w:rsid w:val="3376C106"/>
    <w:rsid w:val="337789D8"/>
    <w:rsid w:val="33A06459"/>
    <w:rsid w:val="365A1340"/>
    <w:rsid w:val="37A04FE8"/>
    <w:rsid w:val="3B2F2838"/>
    <w:rsid w:val="3C104AE8"/>
    <w:rsid w:val="3D19655B"/>
    <w:rsid w:val="3DC5F8C3"/>
    <w:rsid w:val="4240AA33"/>
    <w:rsid w:val="42AAB3D4"/>
    <w:rsid w:val="42E95F56"/>
    <w:rsid w:val="43F19F64"/>
    <w:rsid w:val="47661AEF"/>
    <w:rsid w:val="47AE98EF"/>
    <w:rsid w:val="4946BABA"/>
    <w:rsid w:val="494FDAF5"/>
    <w:rsid w:val="4965676B"/>
    <w:rsid w:val="4ACDFF7E"/>
    <w:rsid w:val="4B22FD6B"/>
    <w:rsid w:val="4C7CBA24"/>
    <w:rsid w:val="517113AA"/>
    <w:rsid w:val="522A1D26"/>
    <w:rsid w:val="5258AD8C"/>
    <w:rsid w:val="5500AA0F"/>
    <w:rsid w:val="577FDA4F"/>
    <w:rsid w:val="5820A980"/>
    <w:rsid w:val="58ADD460"/>
    <w:rsid w:val="58F5D14A"/>
    <w:rsid w:val="59C5DEDB"/>
    <w:rsid w:val="59EC1BC5"/>
    <w:rsid w:val="5B30ACB3"/>
    <w:rsid w:val="5C93054E"/>
    <w:rsid w:val="5CB7CE79"/>
    <w:rsid w:val="5CB8EF45"/>
    <w:rsid w:val="5D86FE5A"/>
    <w:rsid w:val="5E3605D3"/>
    <w:rsid w:val="60CE9B09"/>
    <w:rsid w:val="60F6E634"/>
    <w:rsid w:val="63C74301"/>
    <w:rsid w:val="65B34049"/>
    <w:rsid w:val="65FEF3C8"/>
    <w:rsid w:val="67C9BE24"/>
    <w:rsid w:val="6955FD46"/>
    <w:rsid w:val="695C0674"/>
    <w:rsid w:val="6972C07C"/>
    <w:rsid w:val="6A0770D1"/>
    <w:rsid w:val="6AA46D40"/>
    <w:rsid w:val="6B2EF0CC"/>
    <w:rsid w:val="6CEF1406"/>
    <w:rsid w:val="6D5ED480"/>
    <w:rsid w:val="6E911AD4"/>
    <w:rsid w:val="6EA7556C"/>
    <w:rsid w:val="6F748C2E"/>
    <w:rsid w:val="6FB58830"/>
    <w:rsid w:val="74584E3E"/>
    <w:rsid w:val="748FEEA8"/>
    <w:rsid w:val="74B1CE06"/>
    <w:rsid w:val="74DC77EC"/>
    <w:rsid w:val="763C9D60"/>
    <w:rsid w:val="766B6112"/>
    <w:rsid w:val="77562CF2"/>
    <w:rsid w:val="78890FEA"/>
    <w:rsid w:val="78C9D66D"/>
    <w:rsid w:val="79AFE90F"/>
    <w:rsid w:val="7AF32E41"/>
    <w:rsid w:val="7BD96031"/>
    <w:rsid w:val="7DE4C694"/>
    <w:rsid w:val="7E81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Blindback Sgt TJ@21 AC&amp;W Sqn CADS Ops@Defence O365</lastModifiedBy>
  <revision>3</revision>
  <lastPrinted>2018-04-19T15:20:00.0000000Z</lastPrinted>
  <dcterms:created xsi:type="dcterms:W3CDTF">2021-01-29T16:31:00.0000000Z</dcterms:created>
  <dcterms:modified xsi:type="dcterms:W3CDTF">2021-02-04T19:14:21.2652795Z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