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3B146AF7">
      <w:pPr>
        <w:rPr>
          <w:sz w:val="32"/>
          <w:szCs w:val="32"/>
        </w:rPr>
      </w:pPr>
      <w:r w:rsidRPr="71A61138" w:rsidR="001C1E78">
        <w:rPr>
          <w:sz w:val="32"/>
          <w:szCs w:val="32"/>
        </w:rPr>
        <w:t xml:space="preserve">EO </w:t>
      </w:r>
      <w:r w:rsidRPr="71A61138" w:rsidR="48528AD1">
        <w:rPr>
          <w:sz w:val="32"/>
          <w:szCs w:val="32"/>
        </w:rPr>
        <w:t>003</w:t>
      </w:r>
      <w:r w:rsidRPr="71A61138" w:rsidR="001C1E78">
        <w:rPr>
          <w:sz w:val="32"/>
          <w:szCs w:val="32"/>
        </w:rPr>
        <w:t>.</w:t>
      </w:r>
      <w:r w:rsidRPr="71A61138" w:rsidR="5D81B113">
        <w:rPr>
          <w:sz w:val="32"/>
          <w:szCs w:val="32"/>
        </w:rPr>
        <w:t>01</w:t>
      </w:r>
      <w:r w:rsidRPr="71A61138" w:rsidR="001C1E78">
        <w:rPr>
          <w:sz w:val="32"/>
          <w:szCs w:val="32"/>
        </w:rPr>
        <w:t xml:space="preserve"> - </w:t>
      </w:r>
      <w:r w:rsidRPr="71A61138" w:rsidR="2D4EA217">
        <w:rPr>
          <w:sz w:val="32"/>
          <w:szCs w:val="32"/>
        </w:rPr>
        <w:t>Interpret TDL Organizations</w:t>
      </w:r>
    </w:p>
    <w:p w:rsidR="2D4EA217" w:rsidP="71A61138" w:rsidRDefault="2D4EA217" w14:paraId="3D8B7201" w14:textId="5432D839">
      <w:pPr>
        <w:pStyle w:val="Style1"/>
        <w:bidi w:val="0"/>
        <w:spacing w:before="0" w:beforeAutospacing="off" w:after="0" w:afterAutospacing="off" w:line="259" w:lineRule="auto"/>
        <w:ind w:left="0" w:right="0"/>
        <w:jc w:val="left"/>
        <w:rPr>
          <w:rFonts w:ascii="Times New Roman" w:hAnsi="Times New Roman" w:cs="Times New Roman"/>
        </w:rPr>
      </w:pPr>
      <w:r w:rsidRPr="71A61138" w:rsidR="2D4EA217">
        <w:rPr>
          <w:rFonts w:ascii="Times New Roman" w:hAnsi="Times New Roman" w:cs="Times New Roman"/>
        </w:rPr>
        <w:t>003</w:t>
      </w:r>
      <w:r w:rsidRPr="71A61138" w:rsidR="001C1E78">
        <w:rPr>
          <w:rFonts w:ascii="Times New Roman" w:hAnsi="Times New Roman" w:cs="Times New Roman"/>
        </w:rPr>
        <w:t>.</w:t>
      </w:r>
      <w:r w:rsidRPr="71A61138" w:rsidR="62D5FA62">
        <w:rPr>
          <w:rFonts w:ascii="Times New Roman" w:hAnsi="Times New Roman" w:cs="Times New Roman"/>
        </w:rPr>
        <w:t>01</w:t>
      </w:r>
      <w:r w:rsidRPr="71A61138" w:rsidR="3B2F2838">
        <w:rPr>
          <w:rFonts w:ascii="Times New Roman" w:hAnsi="Times New Roman" w:cs="Times New Roman"/>
        </w:rPr>
        <w:t>.</w:t>
      </w:r>
      <w:r w:rsidRPr="71A61138" w:rsidR="46E3EA79">
        <w:rPr>
          <w:rFonts w:ascii="Times New Roman" w:hAnsi="Times New Roman" w:cs="Times New Roman"/>
        </w:rPr>
        <w:t>01</w:t>
      </w:r>
      <w:r w:rsidRPr="71A61138" w:rsidR="001C1E78">
        <w:rPr>
          <w:rFonts w:ascii="Times New Roman" w:hAnsi="Times New Roman" w:cs="Times New Roman"/>
        </w:rPr>
        <w:t xml:space="preserve"> - </w:t>
      </w:r>
      <w:r w:rsidRPr="71A61138" w:rsidR="5DAEE5E4">
        <w:rPr>
          <w:rFonts w:ascii="Times New Roman" w:hAnsi="Times New Roman" w:cs="Times New Roman"/>
        </w:rPr>
        <w:t>Describe the CAF TDL Governance Structure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6F84A34C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6F84A34C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71A61138" w:rsidRDefault="001C1E78" w14:paraId="70F63B5A" w14:textId="6D409D33">
            <w:pPr>
              <w:rPr>
                <w:lang w:val="en-CA"/>
              </w:rPr>
            </w:pPr>
            <w:r w:rsidRPr="71A61138" w:rsidR="7F46AFA8">
              <w:rPr>
                <w:lang w:val="en-CA"/>
              </w:rPr>
              <w:t>Classroom with Workstation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71A61138" w:rsidRDefault="001C1E78" w14:paraId="314FD918" w14:textId="3DD58803">
            <w:pPr>
              <w:rPr>
                <w:lang w:val="en-CA"/>
              </w:rPr>
            </w:pPr>
            <w:r w:rsidRPr="19906EC8" w:rsidR="4FB963BF">
              <w:rPr>
                <w:lang w:val="en-CA"/>
              </w:rPr>
              <w:t>After PO 002</w:t>
            </w:r>
          </w:p>
        </w:tc>
      </w:tr>
      <w:tr w:rsidR="001C1E78" w:rsidTr="6F84A34C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6F84A34C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71A61138" w:rsidRDefault="001C1E78" w14:paraId="03B7F4D5" w14:textId="352FE6CA">
            <w:pPr>
              <w:rPr>
                <w:lang w:val="en-CA"/>
              </w:rPr>
            </w:pPr>
            <w:r w:rsidRPr="71A61138" w:rsidR="64571021">
              <w:rPr>
                <w:lang w:val="en-CA"/>
              </w:rPr>
              <w:t>50 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71A61138" w:rsidRDefault="001C1E78" w14:paraId="433845DA" w14:textId="2E48D3B1">
            <w:pPr>
              <w:rPr>
                <w:lang w:val="en-CA"/>
              </w:rPr>
            </w:pPr>
            <w:r w:rsidRPr="71A61138" w:rsidR="64571021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71A61138" w:rsidRDefault="001C1E78" w14:paraId="60DC980E" w14:textId="26D93255">
            <w:pPr>
              <w:rPr>
                <w:lang w:val="en-CA"/>
              </w:rPr>
            </w:pPr>
            <w:r w:rsidRPr="71A61138" w:rsidR="64571021">
              <w:rPr>
                <w:lang w:val="en-CA"/>
              </w:rPr>
              <w:t xml:space="preserve">TDL 300 </w:t>
            </w:r>
            <w:r w:rsidRPr="71A61138" w:rsidR="338561B8">
              <w:rPr>
                <w:lang w:val="en-CA"/>
              </w:rPr>
              <w:t>Qualified Instructor or Guest Lecture SME</w:t>
            </w:r>
            <w:r w:rsidRPr="71A61138" w:rsidR="64571021">
              <w:rPr>
                <w:lang w:val="en-CA"/>
              </w:rPr>
              <w:t xml:space="preserve"> </w:t>
            </w:r>
          </w:p>
        </w:tc>
      </w:tr>
      <w:tr w:rsidR="001C1E78" w:rsidTr="6F84A34C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6F84A34C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6F84A34C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71A61138" w:rsidRDefault="001C1E78" w14:paraId="300F3A50" w14:textId="5B43C49E">
            <w:pPr>
              <w:rPr>
                <w:lang w:val="en-CA"/>
              </w:rPr>
            </w:pPr>
            <w:r w:rsidRPr="71A61138" w:rsidR="001C1E78">
              <w:rPr>
                <w:lang w:val="en-CA"/>
              </w:rPr>
              <w:t>1)</w:t>
            </w:r>
            <w:r w:rsidRPr="71A61138" w:rsidR="736C7DAC">
              <w:rPr>
                <w:lang w:val="en-CA"/>
              </w:rPr>
              <w:t xml:space="preserve"> </w:t>
            </w:r>
            <w:r w:rsidRPr="71A61138" w:rsidR="52A9EA0C">
              <w:rPr>
                <w:lang w:val="en-CA"/>
              </w:rPr>
              <w:t>Joint</w:t>
            </w:r>
            <w:r w:rsidRPr="71A61138" w:rsidR="736C7DAC">
              <w:rPr>
                <w:lang w:val="en-CA"/>
              </w:rPr>
              <w:t xml:space="preserve"> </w:t>
            </w:r>
            <w:r w:rsidRPr="71A61138" w:rsidR="67A7B528">
              <w:rPr>
                <w:lang w:val="en-CA"/>
              </w:rPr>
              <w:t xml:space="preserve">TDL </w:t>
            </w:r>
            <w:r w:rsidRPr="71A61138" w:rsidR="736C7DAC">
              <w:rPr>
                <w:lang w:val="en-CA"/>
              </w:rPr>
              <w:t>Operational Authority</w:t>
            </w:r>
          </w:p>
          <w:p w:rsidRPr="004178B8" w:rsidR="001C1E78" w:rsidP="71A61138" w:rsidRDefault="001C1E78" w14:paraId="08B4368D" w14:textId="6E0436B9">
            <w:pPr>
              <w:pStyle w:val="Normal"/>
              <w:rPr>
                <w:lang w:val="en-CA"/>
              </w:rPr>
            </w:pPr>
            <w:r w:rsidRPr="71A61138" w:rsidR="001C1E78">
              <w:rPr>
                <w:lang w:val="en-CA"/>
              </w:rPr>
              <w:t xml:space="preserve">2) </w:t>
            </w:r>
            <w:r w:rsidRPr="71A61138" w:rsidR="7CCD015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Joint</w:t>
            </w:r>
            <w:r w:rsidRPr="71A61138" w:rsidR="7CCD0158">
              <w:rPr>
                <w:lang w:val="en-CA"/>
              </w:rPr>
              <w:t xml:space="preserve"> </w:t>
            </w:r>
            <w:r w:rsidRPr="71A61138" w:rsidR="55473C02">
              <w:rPr>
                <w:lang w:val="en-CA"/>
              </w:rPr>
              <w:t xml:space="preserve">TDL </w:t>
            </w:r>
            <w:r w:rsidRPr="71A61138" w:rsidR="3DEB94DA">
              <w:rPr>
                <w:lang w:val="en-CA"/>
              </w:rPr>
              <w:t>Technical Authority and Network Design Facility</w:t>
            </w:r>
          </w:p>
          <w:p w:rsidRPr="004178B8" w:rsidR="001C1E78" w:rsidP="71A61138" w:rsidRDefault="001C1E78" w14:paraId="533CDBF0" w14:textId="03F1FC21">
            <w:pPr>
              <w:pStyle w:val="Normal"/>
              <w:rPr>
                <w:lang w:val="en-CA"/>
              </w:rPr>
            </w:pPr>
            <w:r w:rsidRPr="19906EC8" w:rsidR="3DEB94DA">
              <w:rPr>
                <w:lang w:val="en-CA"/>
              </w:rPr>
              <w:t xml:space="preserve">3) </w:t>
            </w:r>
            <w:r w:rsidRPr="19906EC8" w:rsidR="7F0E2CA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Joint</w:t>
            </w:r>
            <w:r w:rsidRPr="19906EC8" w:rsidR="3DEB94DA">
              <w:rPr>
                <w:lang w:val="en-CA"/>
              </w:rPr>
              <w:t xml:space="preserve"> </w:t>
            </w:r>
            <w:r w:rsidRPr="19906EC8" w:rsidR="07FFB8EC">
              <w:rPr>
                <w:lang w:val="en-CA"/>
              </w:rPr>
              <w:t>TD</w:t>
            </w:r>
            <w:r w:rsidRPr="19906EC8" w:rsidR="6D905B98">
              <w:rPr>
                <w:lang w:val="en-CA"/>
              </w:rPr>
              <w:t>L</w:t>
            </w:r>
            <w:r w:rsidRPr="19906EC8" w:rsidR="07FFB8EC">
              <w:rPr>
                <w:lang w:val="en-CA"/>
              </w:rPr>
              <w:t xml:space="preserve"> </w:t>
            </w:r>
            <w:proofErr w:type="spellStart"/>
            <w:r w:rsidRPr="19906EC8" w:rsidR="3DEB94DA">
              <w:rPr>
                <w:lang w:val="en-CA"/>
              </w:rPr>
              <w:t>Trg</w:t>
            </w:r>
            <w:proofErr w:type="spellEnd"/>
            <w:r w:rsidRPr="19906EC8" w:rsidR="3DEB94DA">
              <w:rPr>
                <w:lang w:val="en-CA"/>
              </w:rPr>
              <w:t xml:space="preserve"> Authority 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71A61138" w:rsidRDefault="001C1E78" w14:paraId="76816B2F" w14:textId="0FB9F52D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71A61138" w:rsidR="5C2FB319">
              <w:rPr>
                <w:lang w:val="en-CA"/>
              </w:rPr>
              <w:t>Slide Sets</w:t>
            </w:r>
          </w:p>
          <w:p w:rsidRPr="00ED7D0A" w:rsidR="001C1E78" w:rsidP="71A61138" w:rsidRDefault="001C1E78" w14:paraId="75F023CF" w14:textId="62F1F669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71A61138" w:rsidR="5C2FB319">
              <w:rPr>
                <w:lang w:val="en-CA"/>
              </w:rPr>
              <w:t>Interactive Lecture</w:t>
            </w:r>
          </w:p>
          <w:p w:rsidRPr="00ED7D0A" w:rsidR="001C1E78" w:rsidP="71A61138" w:rsidRDefault="001C1E78" w14:paraId="60CE6DF6" w14:textId="0583DB89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71A61138" w:rsidR="5C2FB319">
              <w:rPr>
                <w:lang w:val="en-CA"/>
              </w:rPr>
              <w:t>Confirmation Questions</w:t>
            </w:r>
          </w:p>
        </w:tc>
      </w:tr>
      <w:tr w:rsidR="001C1E78" w:rsidTr="6F84A34C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6F84A34C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7F5925EA">
            <w:pPr>
              <w:rPr>
                <w:lang w:val="en-CA"/>
              </w:rPr>
            </w:pPr>
            <w:r w:rsidRPr="268C6B33" w:rsidR="0E67C6FD">
              <w:rPr>
                <w:lang w:val="en-CA"/>
              </w:rPr>
              <w:t xml:space="preserve">As a </w:t>
            </w:r>
            <w:r w:rsidRPr="268C6B33" w:rsidR="170E00F1">
              <w:rPr>
                <w:lang w:val="en-CA"/>
              </w:rPr>
              <w:t>Multi-</w:t>
            </w:r>
            <w:r w:rsidRPr="268C6B33" w:rsidR="45726F5E">
              <w:rPr>
                <w:lang w:val="en-CA"/>
              </w:rPr>
              <w:t xml:space="preserve">Link </w:t>
            </w:r>
            <w:proofErr w:type="gramStart"/>
            <w:r w:rsidRPr="268C6B33" w:rsidR="0E67C6FD">
              <w:rPr>
                <w:lang w:val="en-CA"/>
              </w:rPr>
              <w:t>Operations Specialist</w:t>
            </w:r>
            <w:proofErr w:type="gramEnd"/>
            <w:r w:rsidRPr="268C6B33" w:rsidR="0E67C6FD">
              <w:rPr>
                <w:lang w:val="en-CA"/>
              </w:rPr>
              <w:t xml:space="preserve"> i</w:t>
            </w:r>
            <w:r w:rsidRPr="268C6B33" w:rsidR="44F11413">
              <w:rPr>
                <w:lang w:val="en-CA"/>
              </w:rPr>
              <w:t>t</w:t>
            </w:r>
            <w:r w:rsidRPr="268C6B33" w:rsidR="0E67C6FD">
              <w:rPr>
                <w:lang w:val="en-CA"/>
              </w:rPr>
              <w:t xml:space="preserve"> is imperative that you have </w:t>
            </w:r>
            <w:r w:rsidRPr="268C6B33" w:rsidR="38D4650A">
              <w:rPr>
                <w:lang w:val="en-CA"/>
              </w:rPr>
              <w:t>a keen</w:t>
            </w:r>
            <w:r w:rsidRPr="268C6B33" w:rsidR="7D2F62E0">
              <w:rPr>
                <w:lang w:val="en-CA"/>
              </w:rPr>
              <w:t xml:space="preserve"> appreciation of the National and </w:t>
            </w:r>
            <w:r w:rsidRPr="268C6B33" w:rsidR="63E3DEF3">
              <w:rPr>
                <w:lang w:val="en-CA"/>
              </w:rPr>
              <w:t>Component</w:t>
            </w:r>
            <w:r w:rsidRPr="268C6B33" w:rsidR="7D2F62E0">
              <w:rPr>
                <w:lang w:val="en-CA"/>
              </w:rPr>
              <w:t xml:space="preserve"> </w:t>
            </w:r>
            <w:r w:rsidRPr="268C6B33" w:rsidR="0E67C6FD">
              <w:rPr>
                <w:lang w:val="en-CA"/>
              </w:rPr>
              <w:t>CAF TDL Governance structures as well as understand the m</w:t>
            </w:r>
            <w:r w:rsidRPr="268C6B33" w:rsidR="56ADAA51">
              <w:rPr>
                <w:lang w:val="en-CA"/>
              </w:rPr>
              <w:t xml:space="preserve">eans </w:t>
            </w:r>
            <w:r w:rsidRPr="268C6B33" w:rsidR="130B2290">
              <w:rPr>
                <w:lang w:val="en-CA"/>
              </w:rPr>
              <w:t xml:space="preserve">by which </w:t>
            </w:r>
            <w:r w:rsidRPr="268C6B33" w:rsidR="1213002C">
              <w:rPr>
                <w:lang w:val="en-CA"/>
              </w:rPr>
              <w:t xml:space="preserve">L1 </w:t>
            </w:r>
            <w:r w:rsidRPr="268C6B33" w:rsidR="56ADAA51">
              <w:rPr>
                <w:lang w:val="en-CA"/>
              </w:rPr>
              <w:t xml:space="preserve">Commanders </w:t>
            </w:r>
            <w:r w:rsidRPr="268C6B33" w:rsidR="57AF9FF5">
              <w:rPr>
                <w:lang w:val="en-CA"/>
              </w:rPr>
              <w:t>will</w:t>
            </w:r>
            <w:r w:rsidRPr="268C6B33" w:rsidR="56ADAA51">
              <w:rPr>
                <w:lang w:val="en-CA"/>
              </w:rPr>
              <w:t xml:space="preserve"> ensure </w:t>
            </w:r>
            <w:r w:rsidRPr="268C6B33" w:rsidR="0D28BE4E">
              <w:rPr>
                <w:lang w:val="en-CA"/>
              </w:rPr>
              <w:t xml:space="preserve">continued </w:t>
            </w:r>
            <w:r w:rsidRPr="268C6B33" w:rsidR="56ADAA51">
              <w:rPr>
                <w:lang w:val="en-CA"/>
              </w:rPr>
              <w:t xml:space="preserve">TDL oversight and </w:t>
            </w:r>
            <w:r w:rsidRPr="268C6B33" w:rsidR="5CD66EBD">
              <w:rPr>
                <w:lang w:val="en-CA"/>
              </w:rPr>
              <w:t xml:space="preserve">manage </w:t>
            </w:r>
            <w:r w:rsidRPr="268C6B33" w:rsidR="417D4C41">
              <w:rPr>
                <w:lang w:val="en-CA"/>
              </w:rPr>
              <w:t xml:space="preserve">elemental </w:t>
            </w:r>
            <w:r w:rsidRPr="268C6B33" w:rsidR="5CD66EBD">
              <w:rPr>
                <w:lang w:val="en-CA"/>
              </w:rPr>
              <w:t xml:space="preserve">TDL </w:t>
            </w:r>
            <w:r w:rsidRPr="268C6B33" w:rsidR="56ADAA51">
              <w:rPr>
                <w:lang w:val="en-CA"/>
              </w:rPr>
              <w:t>interest</w:t>
            </w:r>
            <w:r w:rsidRPr="268C6B33" w:rsidR="3B7B5B69">
              <w:rPr>
                <w:lang w:val="en-CA"/>
              </w:rPr>
              <w:t>s</w:t>
            </w:r>
            <w:r w:rsidRPr="268C6B33" w:rsidR="47A040F4">
              <w:rPr>
                <w:lang w:val="en-CA"/>
              </w:rPr>
              <w:t>.</w:t>
            </w:r>
          </w:p>
        </w:tc>
      </w:tr>
      <w:tr w:rsidR="001C1E78" w:rsidTr="6F84A34C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001C1E78" w:rsidP="19906EC8" w:rsidRDefault="001C1E78" w14:paraId="5A18BBAE" w14:textId="177D21EA">
            <w:pPr>
              <w:pStyle w:val="Normal"/>
              <w:rPr>
                <w:rFonts w:ascii="Times New Roman" w:hAnsi="Times New Roman" w:eastAsia="Times New Roman" w:cs="Times New Roman"/>
                <w:lang w:val="en-CA"/>
              </w:rPr>
            </w:pPr>
            <w:r w:rsidRPr="6F84A34C" w:rsidR="3A101834">
              <w:rPr>
                <w:rFonts w:ascii="Times New Roman" w:hAnsi="Times New Roman" w:eastAsia="Times New Roman" w:cs="Times New Roman"/>
                <w:b w:val="1"/>
                <w:bCs w:val="1"/>
                <w:lang w:val="en-CA"/>
              </w:rPr>
              <w:t>Introduction</w:t>
            </w:r>
            <w:r w:rsidRPr="6F84A34C" w:rsidR="3A101834">
              <w:rPr>
                <w:rFonts w:ascii="Times New Roman" w:hAnsi="Times New Roman" w:eastAsia="Times New Roman" w:cs="Times New Roman"/>
                <w:lang w:val="en-CA"/>
              </w:rPr>
              <w:t xml:space="preserve"> – </w:t>
            </w:r>
          </w:p>
          <w:p w:rsidR="6F84A34C" w:rsidP="6F84A34C" w:rsidRDefault="6F84A34C" w14:paraId="5E0150F4" w14:textId="5DFCBFDE">
            <w:pPr>
              <w:pStyle w:val="Normal"/>
              <w:rPr>
                <w:rFonts w:ascii="Times New Roman" w:hAnsi="Times New Roman" w:eastAsia="Times New Roman" w:cs="Times New Roman"/>
                <w:lang w:val="en-CA"/>
              </w:rPr>
            </w:pPr>
          </w:p>
          <w:p w:rsidR="001C1E78" w:rsidP="19906EC8" w:rsidRDefault="001C1E78" w14:paraId="76E5FDD9" w14:textId="1E853F58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</w:pPr>
            <w:r w:rsidRPr="268C6B33" w:rsidR="28DECB6E">
              <w:rPr>
                <w:rFonts w:ascii="Times New Roman" w:hAnsi="Times New Roman" w:eastAsia="Times New Roman" w:cs="Times New Roman"/>
                <w:lang w:val="en-CA"/>
              </w:rPr>
              <w:t>G</w:t>
            </w:r>
            <w:r w:rsidRPr="268C6B33" w:rsidR="28DECB6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overnance encompasses the processes by which organi</w:t>
            </w:r>
            <w:r w:rsidRPr="268C6B33" w:rsidR="17AFC60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z</w:t>
            </w:r>
            <w:r w:rsidRPr="268C6B33" w:rsidR="28DECB6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ations are directed, controlled and held to account.  It includes the authority, accountability, leadership, direction and control exercised in an organi</w:t>
            </w:r>
            <w:r w:rsidRPr="268C6B33" w:rsidR="1CAC7B5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z</w:t>
            </w:r>
            <w:r w:rsidRPr="268C6B33" w:rsidR="28DECB6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ation. In this case the CAF TDL Organization. Greatness can be achieved when good governance principles and practises are applied throughout the whole organi</w:t>
            </w:r>
            <w:r w:rsidRPr="268C6B33" w:rsidR="698BDD2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z</w:t>
            </w:r>
            <w:r w:rsidRPr="268C6B33" w:rsidR="28DECB6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ation</w:t>
            </w:r>
            <w:r w:rsidRPr="268C6B33" w:rsidR="4EF1BB5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. </w:t>
            </w:r>
          </w:p>
          <w:p w:rsidRPr="00E70B70" w:rsidR="001C1E78" w:rsidP="19906EC8" w:rsidRDefault="001C1E78" w14:paraId="2C57F1AC" w14:textId="7AA4FCA7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</w:pPr>
          </w:p>
          <w:p w:rsidRPr="00E70B70" w:rsidR="001C1E78" w:rsidP="19906EC8" w:rsidRDefault="001C1E78" w14:paraId="19E25B60" w14:textId="79DAC597">
            <w:pPr>
              <w:rPr>
                <w:rFonts w:ascii="Times New Roman" w:hAnsi="Times New Roman" w:eastAsia="Times New Roman" w:cs="Times New Roman"/>
                <w:lang w:val="en-CA"/>
              </w:rPr>
            </w:pPr>
            <w:r w:rsidRPr="6F84A34C" w:rsidR="4BCDA37F">
              <w:rPr>
                <w:rFonts w:ascii="Times New Roman" w:hAnsi="Times New Roman" w:eastAsia="Times New Roman" w:cs="Times New Roman"/>
                <w:b w:val="1"/>
                <w:bCs w:val="1"/>
                <w:lang w:val="en-CA"/>
              </w:rPr>
              <w:t>Activity</w:t>
            </w:r>
            <w:r w:rsidRPr="6F84A34C" w:rsidR="4BCDA37F">
              <w:rPr>
                <w:rFonts w:ascii="Times New Roman" w:hAnsi="Times New Roman" w:eastAsia="Times New Roman" w:cs="Times New Roman"/>
                <w:lang w:val="en-CA"/>
              </w:rPr>
              <w:t xml:space="preserve"> –</w:t>
            </w:r>
          </w:p>
          <w:p w:rsidR="6F84A34C" w:rsidP="6F84A34C" w:rsidRDefault="6F84A34C" w14:paraId="2E2C8E16" w14:textId="61BFA40F">
            <w:pPr>
              <w:pStyle w:val="Normal"/>
              <w:rPr>
                <w:rFonts w:ascii="Times New Roman" w:hAnsi="Times New Roman" w:eastAsia="Times New Roman" w:cs="Times New Roman"/>
                <w:lang w:val="en-CA"/>
              </w:rPr>
            </w:pPr>
          </w:p>
          <w:p w:rsidRPr="00E70B70" w:rsidR="001C1E78" w:rsidP="268C6B33" w:rsidRDefault="001C1E78" w14:paraId="4DA5EC2C" w14:textId="23DF8F4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</w:pPr>
            <w:r w:rsidRPr="268C6B33" w:rsidR="20400F4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Trainees will participate in a “Slide Set” exercise. </w:t>
            </w:r>
            <w:r w:rsidRPr="268C6B33" w:rsidR="4BCDA37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Instructor will divide a large whiteboard (or similar) into NATIONAL</w:t>
            </w:r>
            <w:r w:rsidRPr="268C6B33" w:rsidR="07A6E99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 /</w:t>
            </w:r>
            <w:r w:rsidRPr="268C6B33" w:rsidR="4BCDA37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 </w:t>
            </w:r>
            <w:r w:rsidRPr="268C6B33" w:rsidR="7BFE6A5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COMPONENT</w:t>
            </w:r>
            <w:r w:rsidRPr="268C6B33" w:rsidR="69C4FB4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 </w:t>
            </w:r>
            <w:r w:rsidRPr="268C6B33" w:rsidR="21BD193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/ </w:t>
            </w:r>
            <w:r w:rsidRPr="268C6B33" w:rsidR="69C4FB4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COMMITTEE</w:t>
            </w:r>
            <w:r w:rsidRPr="268C6B33" w:rsidR="43A51A3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 columns</w:t>
            </w:r>
            <w:r w:rsidRPr="268C6B33" w:rsidR="69C4FB4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. </w:t>
            </w:r>
            <w:r w:rsidRPr="268C6B33" w:rsidR="4C51B73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One</w:t>
            </w:r>
            <w:r w:rsidRPr="268C6B33" w:rsidR="69C4FB4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 trainee will be provided “Slide Sets” a</w:t>
            </w:r>
            <w:r w:rsidRPr="268C6B33" w:rsidR="2F2799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n</w:t>
            </w:r>
            <w:r w:rsidRPr="268C6B33" w:rsidR="69C4FB4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d </w:t>
            </w:r>
            <w:r w:rsidRPr="268C6B33" w:rsidR="22034A1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with class </w:t>
            </w:r>
            <w:r w:rsidRPr="268C6B33" w:rsidR="6F2A5D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assistance/</w:t>
            </w:r>
            <w:r w:rsidRPr="268C6B33" w:rsidR="6808B0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g</w:t>
            </w:r>
            <w:r w:rsidRPr="268C6B33" w:rsidR="22034A1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uidance </w:t>
            </w:r>
            <w:r w:rsidRPr="268C6B33" w:rsidR="2EFEC90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will attempt to </w:t>
            </w:r>
            <w:r w:rsidRPr="268C6B33" w:rsidR="2A69249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p</w:t>
            </w:r>
            <w:r w:rsidRPr="268C6B33" w:rsidR="5E762BC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lace</w:t>
            </w:r>
            <w:r w:rsidRPr="268C6B33" w:rsidR="2A69249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 the </w:t>
            </w:r>
            <w:r w:rsidRPr="268C6B33" w:rsidR="2F112DE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TITLED </w:t>
            </w:r>
            <w:r w:rsidRPr="268C6B33" w:rsidR="2A69249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slide sets under the correct headings </w:t>
            </w:r>
            <w:r w:rsidRPr="268C6B33" w:rsidR="2A69249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and in the correct hierarchical order</w:t>
            </w:r>
            <w:r w:rsidRPr="268C6B33" w:rsidR="294EA22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 (</w:t>
            </w:r>
            <w:r w:rsidRPr="268C6B33" w:rsidR="2120C89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1</w:t>
            </w:r>
            <w:r w:rsidRPr="268C6B33" w:rsidR="294EA22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0 – 15 min)</w:t>
            </w:r>
            <w:r w:rsidRPr="268C6B33" w:rsidR="5EDDC41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. The slide sets are to be left in place until the end of EO </w:t>
            </w:r>
            <w:proofErr w:type="gramStart"/>
            <w:r w:rsidRPr="268C6B33" w:rsidR="5EDDC41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003.08.0</w:t>
            </w:r>
            <w:r w:rsidRPr="268C6B33" w:rsidR="5E983B6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3</w:t>
            </w:r>
            <w:r w:rsidRPr="268C6B33" w:rsidR="5EDDC41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 </w:t>
            </w:r>
            <w:r w:rsidRPr="268C6B33" w:rsidR="72568C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.</w:t>
            </w:r>
            <w:proofErr w:type="gramEnd"/>
            <w:r w:rsidRPr="268C6B33" w:rsidR="72568C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 </w:t>
            </w:r>
          </w:p>
          <w:p w:rsidRPr="00E70B70" w:rsidR="001C1E78" w:rsidP="19906EC8" w:rsidRDefault="001C1E78" w14:paraId="5A4AE0CD" w14:textId="11C5EFB0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</w:pPr>
            <w:r w:rsidRPr="19906EC8" w:rsidR="72568C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Instructor will </w:t>
            </w:r>
            <w:r w:rsidRPr="19906EC8" w:rsidR="3606657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 xml:space="preserve">facilitate a guided discussion for ONLY the NATIONAL organizations to determine student </w:t>
            </w:r>
            <w:r w:rsidRPr="19906EC8" w:rsidR="41891B8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knowledge level</w:t>
            </w:r>
          </w:p>
          <w:p w:rsidRPr="00E70B70" w:rsidR="001C1E78" w:rsidP="19906EC8" w:rsidRDefault="001C1E78" w14:paraId="319E4DAC" w14:textId="71065AF8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</w:pPr>
            <w:r w:rsidRPr="19906EC8" w:rsidR="41891B8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Instructor will deliver Ppt presentation Describe the CAF TDL Governance Structure</w:t>
            </w:r>
          </w:p>
          <w:p w:rsidRPr="00E70B70" w:rsidR="001C1E78" w:rsidP="19906EC8" w:rsidRDefault="001C1E78" w14:paraId="7CC2A183" w14:textId="5225532C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</w:pPr>
            <w:r w:rsidRPr="19906EC8" w:rsidR="061064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  <w:t>Trainee confirmation will be completed at the end of this lesson</w:t>
            </w:r>
          </w:p>
          <w:p w:rsidRPr="00E70B70" w:rsidR="001C1E78" w:rsidP="19906EC8" w:rsidRDefault="001C1E78" w14:paraId="0E6EF7A7" w14:textId="22ABB68B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333333"/>
                <w:sz w:val="24"/>
                <w:szCs w:val="24"/>
                <w:lang w:val="en-CA"/>
              </w:rPr>
            </w:pPr>
          </w:p>
          <w:p w:rsidRPr="00E70B70" w:rsidR="001C1E78" w:rsidP="19906EC8" w:rsidRDefault="001C1E78" w14:paraId="0B00343E" w14:textId="364583FA">
            <w:pPr>
              <w:pStyle w:val="Normal"/>
              <w:ind w:left="0"/>
              <w:rPr>
                <w:rFonts w:ascii="Times New Roman" w:hAnsi="Times New Roman" w:eastAsia="Times New Roman" w:cs="Times New Roman"/>
                <w:lang w:val="en-CA"/>
              </w:rPr>
            </w:pPr>
            <w:r w:rsidRPr="6F84A34C" w:rsidR="061064F8">
              <w:rPr>
                <w:rFonts w:ascii="Times New Roman" w:hAnsi="Times New Roman" w:eastAsia="Times New Roman" w:cs="Times New Roman"/>
                <w:b w:val="1"/>
                <w:bCs w:val="1"/>
                <w:lang w:val="en-CA"/>
              </w:rPr>
              <w:t>Conclusion</w:t>
            </w:r>
            <w:r w:rsidRPr="6F84A34C" w:rsidR="061064F8">
              <w:rPr>
                <w:rFonts w:ascii="Times New Roman" w:hAnsi="Times New Roman" w:eastAsia="Times New Roman" w:cs="Times New Roman"/>
                <w:lang w:val="en-CA"/>
              </w:rPr>
              <w:t xml:space="preserve"> –</w:t>
            </w:r>
          </w:p>
          <w:p w:rsidR="6F84A34C" w:rsidP="6F84A34C" w:rsidRDefault="6F84A34C" w14:paraId="23A137B1" w14:textId="16A688A6">
            <w:pPr>
              <w:pStyle w:val="Normal"/>
              <w:ind w:left="0"/>
              <w:rPr>
                <w:rFonts w:ascii="Times New Roman" w:hAnsi="Times New Roman" w:eastAsia="Times New Roman" w:cs="Times New Roman"/>
                <w:lang w:val="en-CA"/>
              </w:rPr>
            </w:pPr>
          </w:p>
          <w:p w:rsidRPr="00E70B70" w:rsidR="001C1E78" w:rsidP="19906EC8" w:rsidRDefault="001C1E78" w14:paraId="5619916E" w14:textId="7C8BDD0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sz w:val="24"/>
                <w:szCs w:val="24"/>
                <w:lang w:val="en-CA"/>
              </w:rPr>
            </w:pPr>
            <w:r w:rsidRPr="19906EC8" w:rsidR="061064F8">
              <w:rPr>
                <w:rFonts w:ascii="Times New Roman" w:hAnsi="Times New Roman" w:eastAsia="Times New Roman" w:cs="Times New Roman"/>
                <w:lang w:val="en-CA"/>
              </w:rPr>
              <w:t>Instructor will complete the lesson once trainee demonstrates an understanding of the LO content based on confirmation question participation.</w:t>
            </w:r>
            <w:r w:rsidRPr="19906EC8" w:rsidR="3A101834">
              <w:rPr>
                <w:rFonts w:ascii="Times New Roman" w:hAnsi="Times New Roman" w:eastAsia="Times New Roman" w:cs="Times New Roman"/>
                <w:lang w:val="en-CA"/>
              </w:rPr>
              <w:t xml:space="preserve"> </w:t>
            </w:r>
          </w:p>
        </w:tc>
      </w:tr>
      <w:tr w:rsidR="001C1E78" w:rsidTr="6F84A34C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6F84A34C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6F84A34C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71A61138" w:rsidRDefault="001C1E78" w14:paraId="0EB146A4" w14:textId="79B43C30">
            <w:pPr>
              <w:rPr>
                <w:lang w:val="en-CA"/>
              </w:rPr>
            </w:pPr>
            <w:r w:rsidRPr="71A61138" w:rsidR="001C1E78">
              <w:rPr>
                <w:lang w:val="en-CA"/>
              </w:rPr>
              <w:t>1)</w:t>
            </w:r>
            <w:r w:rsidRPr="71A61138" w:rsidR="19D15377">
              <w:rPr>
                <w:lang w:val="en-CA"/>
              </w:rPr>
              <w:t xml:space="preserve"> Workstation and Projector</w:t>
            </w:r>
          </w:p>
          <w:p w:rsidRPr="004178B8" w:rsidR="001C1E78" w:rsidP="71A61138" w:rsidRDefault="001C1E78" w14:paraId="40114E2E" w14:textId="7E4BD485">
            <w:pPr>
              <w:rPr>
                <w:lang w:val="en-CA"/>
              </w:rPr>
            </w:pPr>
            <w:r w:rsidRPr="71A61138" w:rsidR="001C1E78">
              <w:rPr>
                <w:lang w:val="en-CA"/>
              </w:rPr>
              <w:t xml:space="preserve">2) </w:t>
            </w:r>
            <w:r w:rsidRPr="71A61138" w:rsidR="09DF2868">
              <w:rPr>
                <w:lang w:val="en-CA"/>
              </w:rPr>
              <w:t>Whiteboard</w:t>
            </w:r>
          </w:p>
          <w:p w:rsidRPr="004178B8" w:rsidR="001C1E78" w:rsidP="71A61138" w:rsidRDefault="001C1E78" w14:paraId="6E66B413" w14:textId="39E18BC4">
            <w:pPr>
              <w:pStyle w:val="Normal"/>
              <w:rPr>
                <w:lang w:val="en-CA"/>
              </w:rPr>
            </w:pPr>
            <w:r w:rsidRPr="71A61138" w:rsidR="09DF2868">
              <w:rPr>
                <w:lang w:val="en-CA"/>
              </w:rPr>
              <w:t>3) Ppt Slides</w:t>
            </w:r>
          </w:p>
          <w:p w:rsidRPr="004178B8" w:rsidR="001C1E78" w:rsidP="71A61138" w:rsidRDefault="001C1E78" w14:paraId="41EFC28B" w14:textId="064A2795">
            <w:pPr>
              <w:pStyle w:val="Normal"/>
              <w:rPr>
                <w:lang w:val="en-CA"/>
              </w:rPr>
            </w:pPr>
            <w:r w:rsidRPr="71A61138" w:rsidR="09DF2868">
              <w:rPr>
                <w:lang w:val="en-CA"/>
              </w:rPr>
              <w:t>4) Confirmation Questions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71A61138" w:rsidRDefault="001C1E78" w14:paraId="2607147B" w14:textId="4F116D13">
            <w:pPr>
              <w:rPr>
                <w:lang w:val="en-CA"/>
              </w:rPr>
            </w:pPr>
            <w:r w:rsidRPr="71A61138" w:rsidR="001C1E78">
              <w:rPr>
                <w:lang w:val="en-CA"/>
              </w:rPr>
              <w:t>1</w:t>
            </w:r>
            <w:r w:rsidRPr="71A61138" w:rsidR="001C1E78">
              <w:rPr>
                <w:lang w:val="en-CA"/>
              </w:rPr>
              <w:t>)</w:t>
            </w:r>
            <w:r w:rsidRPr="71A61138" w:rsidR="587638A8">
              <w:rPr>
                <w:lang w:val="en-CA"/>
              </w:rPr>
              <w:t xml:space="preserve"> DAOD 6</w:t>
            </w:r>
            <w:r w:rsidRPr="71A61138" w:rsidR="66DB2123">
              <w:rPr>
                <w:lang w:val="en-CA"/>
              </w:rPr>
              <w:t>002</w:t>
            </w:r>
            <w:r w:rsidRPr="71A61138" w:rsidR="587638A8">
              <w:rPr>
                <w:lang w:val="en-CA"/>
              </w:rPr>
              <w:t>-5</w:t>
            </w:r>
          </w:p>
          <w:p w:rsidRPr="004178B8" w:rsidR="001C1E78" w:rsidP="71A61138" w:rsidRDefault="001C1E78" w14:paraId="17F9E254" w14:textId="19E59831">
            <w:pPr>
              <w:rPr>
                <w:lang w:val="en-CA"/>
              </w:rPr>
            </w:pPr>
            <w:r w:rsidRPr="71A61138" w:rsidR="001C1E78">
              <w:rPr>
                <w:lang w:val="en-CA"/>
              </w:rPr>
              <w:t>2</w:t>
            </w:r>
            <w:r w:rsidRPr="71A61138" w:rsidR="001C1E78">
              <w:rPr>
                <w:lang w:val="en-CA"/>
              </w:rPr>
              <w:t>)</w:t>
            </w:r>
            <w:r w:rsidRPr="71A61138" w:rsidR="438CEBEB">
              <w:rPr>
                <w:lang w:val="en-CA"/>
              </w:rPr>
              <w:t xml:space="preserve"> CJOC CONOP (DRAFT)</w:t>
            </w:r>
          </w:p>
          <w:p w:rsidRPr="004178B8" w:rsidR="001C1E78" w:rsidP="71A61138" w:rsidRDefault="001C1E78" w14:paraId="48DB8EB5" w14:textId="56F49C12">
            <w:pPr>
              <w:pStyle w:val="Normal"/>
              <w:rPr>
                <w:lang w:val="en-CA"/>
              </w:rPr>
            </w:pPr>
            <w:r w:rsidRPr="71A61138" w:rsidR="438CEBEB">
              <w:rPr>
                <w:lang w:val="en-CA"/>
              </w:rPr>
              <w:t xml:space="preserve">3) RCN </w:t>
            </w:r>
            <w:r w:rsidRPr="71A61138" w:rsidR="298AD5BB">
              <w:rPr>
                <w:lang w:val="en-CA"/>
              </w:rPr>
              <w:t xml:space="preserve">TDL </w:t>
            </w:r>
            <w:r w:rsidRPr="71A61138" w:rsidR="087BA957">
              <w:rPr>
                <w:lang w:val="en-CA"/>
              </w:rPr>
              <w:t>St</w:t>
            </w:r>
            <w:r w:rsidRPr="71A61138" w:rsidR="3D9E0B27">
              <w:rPr>
                <w:lang w:val="en-CA"/>
              </w:rPr>
              <w:t>r</w:t>
            </w:r>
            <w:r w:rsidRPr="71A61138" w:rsidR="087BA957">
              <w:rPr>
                <w:lang w:val="en-CA"/>
              </w:rPr>
              <w:t>ateg</w:t>
            </w:r>
            <w:r w:rsidRPr="71A61138" w:rsidR="24151742">
              <w:rPr>
                <w:lang w:val="en-CA"/>
              </w:rPr>
              <w:t>y</w:t>
            </w:r>
          </w:p>
          <w:p w:rsidRPr="004178B8" w:rsidR="001C1E78" w:rsidP="71A61138" w:rsidRDefault="001C1E78" w14:paraId="78A97F2F" w14:textId="17A1EA23">
            <w:pPr>
              <w:pStyle w:val="Normal"/>
              <w:rPr>
                <w:lang w:val="en-CA"/>
              </w:rPr>
            </w:pPr>
            <w:r w:rsidRPr="19906EC8" w:rsidR="48666C1E">
              <w:rPr>
                <w:lang w:val="en-CA"/>
              </w:rPr>
              <w:t>4) RCAF D</w:t>
            </w:r>
            <w:r w:rsidRPr="19906EC8" w:rsidR="74747179">
              <w:rPr>
                <w:lang w:val="en-CA"/>
              </w:rPr>
              <w:t xml:space="preserve">ata </w:t>
            </w:r>
            <w:r w:rsidRPr="19906EC8" w:rsidR="48666C1E">
              <w:rPr>
                <w:lang w:val="en-CA"/>
              </w:rPr>
              <w:t>L</w:t>
            </w:r>
            <w:r w:rsidRPr="19906EC8" w:rsidR="69262585">
              <w:rPr>
                <w:lang w:val="en-CA"/>
              </w:rPr>
              <w:t>ink</w:t>
            </w:r>
            <w:r w:rsidRPr="19906EC8" w:rsidR="48666C1E">
              <w:rPr>
                <w:lang w:val="en-CA"/>
              </w:rPr>
              <w:t xml:space="preserve"> CON</w:t>
            </w:r>
            <w:r w:rsidRPr="19906EC8" w:rsidR="05E837F5">
              <w:rPr>
                <w:lang w:val="en-CA"/>
              </w:rPr>
              <w:t xml:space="preserve">EMP </w:t>
            </w:r>
            <w:proofErr w:type="spellStart"/>
            <w:r w:rsidRPr="19906EC8" w:rsidR="05E837F5">
              <w:rPr>
                <w:lang w:val="en-CA"/>
              </w:rPr>
              <w:t>ver</w:t>
            </w:r>
            <w:proofErr w:type="spellEnd"/>
            <w:r w:rsidRPr="19906EC8" w:rsidR="05E837F5">
              <w:rPr>
                <w:lang w:val="en-CA"/>
              </w:rPr>
              <w:t xml:space="preserve"> 2</w:t>
            </w:r>
          </w:p>
        </w:tc>
      </w:tr>
      <w:tr w:rsidR="001C1E78" w:rsidTr="6F84A34C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6F84A34C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6F84A34C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268C6B33" w:rsidRDefault="001C1E78" w14:paraId="63CE7357" w14:textId="0F3625C8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eastAsia="Times New Roman" w:cs="Times New Roman"/>
                <w:sz w:val="24"/>
                <w:szCs w:val="24"/>
                <w:lang w:val="en-CA"/>
              </w:rPr>
            </w:pPr>
            <w:r w:rsidRPr="6F84A34C" w:rsidR="2F8E2FA6">
              <w:rPr>
                <w:lang w:val="en-CA"/>
              </w:rPr>
              <w:t>I</w:t>
            </w:r>
            <w:r w:rsidRPr="6F84A34C" w:rsidR="64D6D9BF">
              <w:rPr>
                <w:lang w:val="en-CA"/>
              </w:rPr>
              <w:t xml:space="preserve">n preparation for this </w:t>
            </w:r>
            <w:r w:rsidRPr="6F84A34C" w:rsidR="51DCFDA2">
              <w:rPr>
                <w:lang w:val="en-CA"/>
              </w:rPr>
              <w:t>EC 003.01</w:t>
            </w:r>
            <w:r w:rsidRPr="6F84A34C" w:rsidR="64D6D9BF">
              <w:rPr>
                <w:lang w:val="en-CA"/>
              </w:rPr>
              <w:t xml:space="preserve"> “Slide Sets” are required to be created. Theses slide sets should </w:t>
            </w:r>
            <w:r w:rsidRPr="6F84A34C" w:rsidR="6DE56CA6">
              <w:rPr>
                <w:lang w:val="en-CA"/>
              </w:rPr>
              <w:t xml:space="preserve">be designed in size and font that they can be easily read from the back of your classroom. These should be affixable </w:t>
            </w:r>
            <w:r w:rsidRPr="6F84A34C" w:rsidR="40BF6364">
              <w:rPr>
                <w:lang w:val="en-CA"/>
              </w:rPr>
              <w:t>(magnetic/</w:t>
            </w:r>
            <w:proofErr w:type="spellStart"/>
            <w:r w:rsidRPr="6F84A34C" w:rsidR="40BF6364">
              <w:rPr>
                <w:lang w:val="en-CA"/>
              </w:rPr>
              <w:t>velcro</w:t>
            </w:r>
            <w:proofErr w:type="spellEnd"/>
            <w:r w:rsidRPr="6F84A34C" w:rsidR="40BF6364">
              <w:rPr>
                <w:lang w:val="en-CA"/>
              </w:rPr>
              <w:t>/</w:t>
            </w:r>
            <w:proofErr w:type="spellStart"/>
            <w:r w:rsidRPr="6F84A34C" w:rsidR="40BF6364">
              <w:rPr>
                <w:lang w:val="en-CA"/>
              </w:rPr>
              <w:t>etc</w:t>
            </w:r>
            <w:proofErr w:type="spellEnd"/>
            <w:r w:rsidRPr="6F84A34C" w:rsidR="40BF6364">
              <w:rPr>
                <w:lang w:val="en-CA"/>
              </w:rPr>
              <w:t xml:space="preserve">) </w:t>
            </w:r>
            <w:r w:rsidRPr="6F84A34C" w:rsidR="6DE56CA6">
              <w:rPr>
                <w:lang w:val="en-CA"/>
              </w:rPr>
              <w:t>to whatever whiteboard</w:t>
            </w:r>
            <w:r w:rsidRPr="6F84A34C" w:rsidR="639F4526">
              <w:rPr>
                <w:lang w:val="en-CA"/>
              </w:rPr>
              <w:t>/easel/chart you will use for this exercise</w:t>
            </w:r>
            <w:r w:rsidRPr="6F84A34C" w:rsidR="2772978B">
              <w:rPr>
                <w:lang w:val="en-CA"/>
              </w:rPr>
              <w:t xml:space="preserve"> as delineated in ACTIVITY Step 2 above</w:t>
            </w:r>
            <w:r w:rsidRPr="6F84A34C" w:rsidR="639F4526">
              <w:rPr>
                <w:lang w:val="en-CA"/>
              </w:rPr>
              <w:t xml:space="preserve">. </w:t>
            </w:r>
          </w:p>
          <w:p w:rsidRPr="00C21E62" w:rsidR="001C1E78" w:rsidP="268C6B33" w:rsidRDefault="001C1E78" w14:paraId="51C3814B" w14:textId="5F0BFDE6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  <w:lang w:val="en-CA"/>
              </w:rPr>
            </w:pPr>
            <w:r w:rsidRPr="268C6B33" w:rsidR="639F4526">
              <w:rPr>
                <w:lang w:val="en-CA"/>
              </w:rPr>
              <w:t>Slide Sets to include</w:t>
            </w:r>
            <w:r w:rsidRPr="268C6B33" w:rsidR="4D858770">
              <w:rPr>
                <w:lang w:val="en-CA"/>
              </w:rPr>
              <w:t xml:space="preserve"> 1 x each of the following</w:t>
            </w:r>
            <w:r w:rsidRPr="268C6B33" w:rsidR="639F4526">
              <w:rPr>
                <w:lang w:val="en-CA"/>
              </w:rPr>
              <w:t>:</w:t>
            </w:r>
          </w:p>
          <w:p w:rsidRPr="00C21E62" w:rsidR="001C1E78" w:rsidP="268C6B33" w:rsidRDefault="001C1E78" w14:paraId="1079F605" w14:textId="09B1B59F">
            <w:pPr>
              <w:pStyle w:val="Normal"/>
              <w:ind w:left="0"/>
              <w:rPr>
                <w:lang w:val="en-CA"/>
              </w:rPr>
            </w:pPr>
            <w:r w:rsidRPr="268C6B33" w:rsidR="639F4526">
              <w:rPr>
                <w:lang w:val="en-CA"/>
              </w:rPr>
              <w:t xml:space="preserve">              </w:t>
            </w:r>
            <w:r w:rsidRPr="268C6B33" w:rsidR="38AAFBA7">
              <w:rPr>
                <w:lang w:val="en-CA"/>
              </w:rPr>
              <w:t>JOINT</w:t>
            </w:r>
            <w:r w:rsidRPr="268C6B33" w:rsidR="639F4526">
              <w:rPr>
                <w:lang w:val="en-CA"/>
              </w:rPr>
              <w:t xml:space="preserve"> OPERATIONAL AUTHORITY</w:t>
            </w:r>
          </w:p>
          <w:p w:rsidRPr="00C21E62" w:rsidR="001C1E78" w:rsidP="268C6B33" w:rsidRDefault="001C1E78" w14:paraId="5AFF940F" w14:textId="0BAE4D77">
            <w:pPr>
              <w:pStyle w:val="Normal"/>
              <w:ind w:left="0"/>
              <w:rPr>
                <w:lang w:val="en-CA"/>
              </w:rPr>
            </w:pPr>
            <w:r w:rsidRPr="268C6B33" w:rsidR="639F4526">
              <w:rPr>
                <w:lang w:val="en-CA"/>
              </w:rPr>
              <w:t xml:space="preserve">              </w:t>
            </w:r>
            <w:r w:rsidRPr="268C6B33" w:rsidR="4373308C">
              <w:rPr>
                <w:lang w:val="en-CA"/>
              </w:rPr>
              <w:t>JOINT</w:t>
            </w:r>
            <w:r w:rsidRPr="268C6B33" w:rsidR="639F4526">
              <w:rPr>
                <w:lang w:val="en-CA"/>
              </w:rPr>
              <w:t xml:space="preserve"> TECHNICAL AUTHORITY</w:t>
            </w:r>
          </w:p>
          <w:p w:rsidRPr="00C21E62" w:rsidR="001C1E78" w:rsidP="268C6B33" w:rsidRDefault="001C1E78" w14:paraId="0C74E45C" w14:textId="3650A01A">
            <w:pPr>
              <w:pStyle w:val="Normal"/>
              <w:ind w:left="0"/>
              <w:rPr>
                <w:lang w:val="en-CA"/>
              </w:rPr>
            </w:pPr>
            <w:r w:rsidRPr="268C6B33" w:rsidR="639F4526">
              <w:rPr>
                <w:lang w:val="en-CA"/>
              </w:rPr>
              <w:t xml:space="preserve">              </w:t>
            </w:r>
            <w:r w:rsidRPr="268C6B33" w:rsidR="1A1CE1E3">
              <w:rPr>
                <w:lang w:val="en-CA"/>
              </w:rPr>
              <w:t xml:space="preserve">JOINT </w:t>
            </w:r>
            <w:r w:rsidRPr="268C6B33" w:rsidR="639F4526">
              <w:rPr>
                <w:lang w:val="en-CA"/>
              </w:rPr>
              <w:t>TRAINING AUTHORITY</w:t>
            </w:r>
          </w:p>
          <w:p w:rsidRPr="00C21E62" w:rsidR="001C1E78" w:rsidP="268C6B33" w:rsidRDefault="001C1E78" w14:paraId="565BE922" w14:textId="3D6A6A05">
            <w:pPr>
              <w:pStyle w:val="Normal"/>
              <w:ind w:left="0"/>
              <w:rPr>
                <w:lang w:val="en-CA"/>
              </w:rPr>
            </w:pPr>
            <w:r w:rsidRPr="268C6B33" w:rsidR="639F4526">
              <w:rPr>
                <w:lang w:val="en-CA"/>
              </w:rPr>
              <w:t xml:space="preserve">              ELEMENTAL OPERATIONAL AUTHORITY</w:t>
            </w:r>
          </w:p>
          <w:p w:rsidRPr="00C21E62" w:rsidR="001C1E78" w:rsidP="268C6B33" w:rsidRDefault="001C1E78" w14:paraId="6378335A" w14:textId="78BF53D1">
            <w:pPr>
              <w:pStyle w:val="Normal"/>
              <w:ind w:left="0"/>
              <w:rPr>
                <w:lang w:val="en-CA"/>
              </w:rPr>
            </w:pPr>
            <w:r w:rsidRPr="268C6B33" w:rsidR="639F4526">
              <w:rPr>
                <w:lang w:val="en-CA"/>
              </w:rPr>
              <w:t xml:space="preserve">              ELEMENTAL TECHNICAL AUTHORITY</w:t>
            </w:r>
          </w:p>
          <w:p w:rsidRPr="00C21E62" w:rsidR="001C1E78" w:rsidP="268C6B33" w:rsidRDefault="001C1E78" w14:paraId="658BD9D9" w14:textId="7CEDCE5E">
            <w:pPr>
              <w:pStyle w:val="Normal"/>
              <w:ind w:left="0"/>
              <w:rPr>
                <w:lang w:val="en-CA"/>
              </w:rPr>
            </w:pPr>
            <w:r w:rsidRPr="268C6B33" w:rsidR="639F4526">
              <w:rPr>
                <w:lang w:val="en-CA"/>
              </w:rPr>
              <w:t xml:space="preserve">              ELEMENTAL TRAINING AUTHORITY</w:t>
            </w:r>
          </w:p>
          <w:p w:rsidRPr="00C21E62" w:rsidR="001C1E78" w:rsidP="268C6B33" w:rsidRDefault="001C1E78" w14:paraId="5B2DD532" w14:textId="580152C0">
            <w:pPr>
              <w:pStyle w:val="Normal"/>
              <w:ind w:left="0"/>
              <w:rPr>
                <w:lang w:val="en-CA"/>
              </w:rPr>
            </w:pPr>
            <w:r w:rsidRPr="268C6B33" w:rsidR="639F4526">
              <w:rPr>
                <w:lang w:val="en-CA"/>
              </w:rPr>
              <w:t xml:space="preserve">              COMMUNICATION and INFORMATION SYSTEMS STEERING COMMITTEE</w:t>
            </w:r>
          </w:p>
          <w:p w:rsidRPr="00C21E62" w:rsidR="001C1E78" w:rsidP="268C6B33" w:rsidRDefault="001C1E78" w14:paraId="2BB33AC4" w14:textId="798210BD">
            <w:pPr>
              <w:pStyle w:val="Normal"/>
              <w:ind w:left="0"/>
              <w:rPr>
                <w:lang w:val="en-CA"/>
              </w:rPr>
            </w:pPr>
            <w:r w:rsidRPr="268C6B33" w:rsidR="4D0F8E68">
              <w:rPr>
                <w:lang w:val="en-CA"/>
              </w:rPr>
              <w:t xml:space="preserve">              J</w:t>
            </w:r>
            <w:r w:rsidRPr="268C6B33" w:rsidR="34222AC1">
              <w:rPr>
                <w:lang w:val="en-CA"/>
              </w:rPr>
              <w:t>OINT TDL STAKEHOLDER WORKING GROUP</w:t>
            </w:r>
          </w:p>
          <w:p w:rsidRPr="00C21E62" w:rsidR="001C1E78" w:rsidP="268C6B33" w:rsidRDefault="001C1E78" w14:paraId="19672120" w14:textId="4D638F31">
            <w:pPr>
              <w:pStyle w:val="Normal"/>
              <w:ind w:left="0"/>
              <w:rPr>
                <w:lang w:val="en-CA"/>
              </w:rPr>
            </w:pPr>
            <w:r w:rsidRPr="268C6B33" w:rsidR="34222AC1">
              <w:rPr>
                <w:lang w:val="en-CA"/>
              </w:rPr>
              <w:t xml:space="preserve">              JOINT TDL SWG SUB-WORKING GROUP</w:t>
            </w:r>
          </w:p>
          <w:p w:rsidRPr="00C21E62" w:rsidR="001C1E78" w:rsidP="268C6B33" w:rsidRDefault="001C1E78" w14:paraId="6BC1E5B5" w14:textId="00BCB581">
            <w:pPr>
              <w:pStyle w:val="Normal"/>
              <w:ind w:left="0"/>
              <w:rPr>
                <w:lang w:val="en-CA"/>
              </w:rPr>
            </w:pPr>
            <w:r w:rsidRPr="268C6B33" w:rsidR="503BBD0D">
              <w:rPr>
                <w:lang w:val="en-CA"/>
              </w:rPr>
              <w:t xml:space="preserve">              DATA LINK ADVISORY PANEL</w:t>
            </w: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DF8BC1"/>
    <w:rsid w:val="00E13B32"/>
    <w:rsid w:val="00E4387D"/>
    <w:rsid w:val="00E469CA"/>
    <w:rsid w:val="00E52B05"/>
    <w:rsid w:val="00E96D86"/>
    <w:rsid w:val="00ED7D0A"/>
    <w:rsid w:val="00EF5A10"/>
    <w:rsid w:val="00F01A53"/>
    <w:rsid w:val="00F4197D"/>
    <w:rsid w:val="00F81A1A"/>
    <w:rsid w:val="00F93669"/>
    <w:rsid w:val="00F94729"/>
    <w:rsid w:val="00FC24A6"/>
    <w:rsid w:val="00FD6BDE"/>
    <w:rsid w:val="01A87F33"/>
    <w:rsid w:val="025F5E29"/>
    <w:rsid w:val="0305B324"/>
    <w:rsid w:val="04329FFA"/>
    <w:rsid w:val="051D14A1"/>
    <w:rsid w:val="05E837F5"/>
    <w:rsid w:val="061064F8"/>
    <w:rsid w:val="064DE0FD"/>
    <w:rsid w:val="07855918"/>
    <w:rsid w:val="07A6E99C"/>
    <w:rsid w:val="07FFB8EC"/>
    <w:rsid w:val="087568C8"/>
    <w:rsid w:val="087BA957"/>
    <w:rsid w:val="08B94C4C"/>
    <w:rsid w:val="08DFDA84"/>
    <w:rsid w:val="09DF2868"/>
    <w:rsid w:val="0C3BFE5C"/>
    <w:rsid w:val="0C801918"/>
    <w:rsid w:val="0CD8ED7F"/>
    <w:rsid w:val="0D28BE4E"/>
    <w:rsid w:val="0D4F0638"/>
    <w:rsid w:val="0E67C6FD"/>
    <w:rsid w:val="0F0D0863"/>
    <w:rsid w:val="0F3DE131"/>
    <w:rsid w:val="0F8687F7"/>
    <w:rsid w:val="0FBB36C9"/>
    <w:rsid w:val="1019A83D"/>
    <w:rsid w:val="1029B69E"/>
    <w:rsid w:val="116A19BF"/>
    <w:rsid w:val="1213002C"/>
    <w:rsid w:val="130B2290"/>
    <w:rsid w:val="1510FDC5"/>
    <w:rsid w:val="15C64C75"/>
    <w:rsid w:val="160DD301"/>
    <w:rsid w:val="16BA0F68"/>
    <w:rsid w:val="170E00F1"/>
    <w:rsid w:val="17621CD6"/>
    <w:rsid w:val="17AFC60F"/>
    <w:rsid w:val="17BA5642"/>
    <w:rsid w:val="187A5162"/>
    <w:rsid w:val="18EDEB8C"/>
    <w:rsid w:val="18FDED37"/>
    <w:rsid w:val="19906EC8"/>
    <w:rsid w:val="19D15377"/>
    <w:rsid w:val="19E4FD2E"/>
    <w:rsid w:val="1A1CE1E3"/>
    <w:rsid w:val="1A270604"/>
    <w:rsid w:val="1A448937"/>
    <w:rsid w:val="1B772C67"/>
    <w:rsid w:val="1B8BBA23"/>
    <w:rsid w:val="1C41467C"/>
    <w:rsid w:val="1CAC7B5D"/>
    <w:rsid w:val="1CB7A019"/>
    <w:rsid w:val="1D4C6B3F"/>
    <w:rsid w:val="1DCC98E4"/>
    <w:rsid w:val="1DD15E5A"/>
    <w:rsid w:val="1DE2D43C"/>
    <w:rsid w:val="1DF79390"/>
    <w:rsid w:val="1E089AE0"/>
    <w:rsid w:val="1EBE0E57"/>
    <w:rsid w:val="1F7355D9"/>
    <w:rsid w:val="1F7F7BDA"/>
    <w:rsid w:val="20400F46"/>
    <w:rsid w:val="2120C899"/>
    <w:rsid w:val="21BD1931"/>
    <w:rsid w:val="22034A17"/>
    <w:rsid w:val="2215BF62"/>
    <w:rsid w:val="22DA997F"/>
    <w:rsid w:val="237C01E2"/>
    <w:rsid w:val="23E9D442"/>
    <w:rsid w:val="24151742"/>
    <w:rsid w:val="242FBF33"/>
    <w:rsid w:val="244FF5FB"/>
    <w:rsid w:val="24D201A4"/>
    <w:rsid w:val="261CA5EC"/>
    <w:rsid w:val="261E7005"/>
    <w:rsid w:val="268C6B33"/>
    <w:rsid w:val="26D12094"/>
    <w:rsid w:val="2772978B"/>
    <w:rsid w:val="2831C3F0"/>
    <w:rsid w:val="28659D4D"/>
    <w:rsid w:val="28DECB6E"/>
    <w:rsid w:val="294EA22D"/>
    <w:rsid w:val="298AD5BB"/>
    <w:rsid w:val="2A090E11"/>
    <w:rsid w:val="2A4A5992"/>
    <w:rsid w:val="2A4D6DA0"/>
    <w:rsid w:val="2A692490"/>
    <w:rsid w:val="2B4CDB17"/>
    <w:rsid w:val="2B9BA626"/>
    <w:rsid w:val="2C13E4EF"/>
    <w:rsid w:val="2D4EA217"/>
    <w:rsid w:val="2E466C15"/>
    <w:rsid w:val="2EA10574"/>
    <w:rsid w:val="2EC274AE"/>
    <w:rsid w:val="2EFEC90D"/>
    <w:rsid w:val="2F112DE2"/>
    <w:rsid w:val="2F2799F3"/>
    <w:rsid w:val="2F8E2FA6"/>
    <w:rsid w:val="2F94C867"/>
    <w:rsid w:val="3095D6EF"/>
    <w:rsid w:val="30B916C6"/>
    <w:rsid w:val="30CC6FFF"/>
    <w:rsid w:val="315F29E1"/>
    <w:rsid w:val="337789D8"/>
    <w:rsid w:val="337C641D"/>
    <w:rsid w:val="338561B8"/>
    <w:rsid w:val="33A06459"/>
    <w:rsid w:val="34222AC1"/>
    <w:rsid w:val="35579374"/>
    <w:rsid w:val="35F2CF14"/>
    <w:rsid w:val="3606657D"/>
    <w:rsid w:val="365A1340"/>
    <w:rsid w:val="37A04FE8"/>
    <w:rsid w:val="3836ACE3"/>
    <w:rsid w:val="38AAFBA7"/>
    <w:rsid w:val="38D4650A"/>
    <w:rsid w:val="392A6FD6"/>
    <w:rsid w:val="3A101834"/>
    <w:rsid w:val="3A75EFD3"/>
    <w:rsid w:val="3B2F2838"/>
    <w:rsid w:val="3B783369"/>
    <w:rsid w:val="3B7B5B69"/>
    <w:rsid w:val="3C104AE8"/>
    <w:rsid w:val="3D19655B"/>
    <w:rsid w:val="3D9E0B27"/>
    <w:rsid w:val="3DEB94DA"/>
    <w:rsid w:val="40BF6364"/>
    <w:rsid w:val="417D4C41"/>
    <w:rsid w:val="41891B84"/>
    <w:rsid w:val="427E4784"/>
    <w:rsid w:val="434C59B5"/>
    <w:rsid w:val="4373308C"/>
    <w:rsid w:val="438CEBEB"/>
    <w:rsid w:val="43A51A36"/>
    <w:rsid w:val="44E82A16"/>
    <w:rsid w:val="44F11413"/>
    <w:rsid w:val="45726F5E"/>
    <w:rsid w:val="46830E30"/>
    <w:rsid w:val="46D21792"/>
    <w:rsid w:val="46E3EA79"/>
    <w:rsid w:val="47661AEF"/>
    <w:rsid w:val="47A040F4"/>
    <w:rsid w:val="47AE98EF"/>
    <w:rsid w:val="48528AD1"/>
    <w:rsid w:val="48666C1E"/>
    <w:rsid w:val="4946BABA"/>
    <w:rsid w:val="494FDAF5"/>
    <w:rsid w:val="49884D16"/>
    <w:rsid w:val="4A09B854"/>
    <w:rsid w:val="4A372C2F"/>
    <w:rsid w:val="4B22FD6B"/>
    <w:rsid w:val="4B4655BC"/>
    <w:rsid w:val="4BA588B5"/>
    <w:rsid w:val="4BCDA37F"/>
    <w:rsid w:val="4C51B735"/>
    <w:rsid w:val="4C7CBA24"/>
    <w:rsid w:val="4C915E22"/>
    <w:rsid w:val="4C978540"/>
    <w:rsid w:val="4D0F8E68"/>
    <w:rsid w:val="4D858770"/>
    <w:rsid w:val="4DE5CFFE"/>
    <w:rsid w:val="4E5A86F6"/>
    <w:rsid w:val="4EF1BB53"/>
    <w:rsid w:val="4F8D246B"/>
    <w:rsid w:val="4FB963BF"/>
    <w:rsid w:val="503BBD0D"/>
    <w:rsid w:val="50BD0CF5"/>
    <w:rsid w:val="511D70C0"/>
    <w:rsid w:val="51C79678"/>
    <w:rsid w:val="51DCFDA2"/>
    <w:rsid w:val="523D3516"/>
    <w:rsid w:val="52A9EA0C"/>
    <w:rsid w:val="543C2449"/>
    <w:rsid w:val="552FDEE9"/>
    <w:rsid w:val="55473C02"/>
    <w:rsid w:val="56ADAA51"/>
    <w:rsid w:val="57AF9FF5"/>
    <w:rsid w:val="5820A980"/>
    <w:rsid w:val="58677FAB"/>
    <w:rsid w:val="587638A8"/>
    <w:rsid w:val="5895819F"/>
    <w:rsid w:val="58ADD460"/>
    <w:rsid w:val="58F5D14A"/>
    <w:rsid w:val="5980D9E5"/>
    <w:rsid w:val="59C5DEDB"/>
    <w:rsid w:val="5B364FCA"/>
    <w:rsid w:val="5BCAEEFF"/>
    <w:rsid w:val="5BCD2261"/>
    <w:rsid w:val="5BF34C1D"/>
    <w:rsid w:val="5C2FB319"/>
    <w:rsid w:val="5C7D1D55"/>
    <w:rsid w:val="5C93054E"/>
    <w:rsid w:val="5CB7CE79"/>
    <w:rsid w:val="5CB8EF45"/>
    <w:rsid w:val="5CD66EBD"/>
    <w:rsid w:val="5D81B113"/>
    <w:rsid w:val="5DAEE5E4"/>
    <w:rsid w:val="5DFFC559"/>
    <w:rsid w:val="5E3605D3"/>
    <w:rsid w:val="5E762BCD"/>
    <w:rsid w:val="5E983B62"/>
    <w:rsid w:val="5EDDC419"/>
    <w:rsid w:val="60A09384"/>
    <w:rsid w:val="60CE9B09"/>
    <w:rsid w:val="62D5FA62"/>
    <w:rsid w:val="6324D814"/>
    <w:rsid w:val="639F4526"/>
    <w:rsid w:val="63C74301"/>
    <w:rsid w:val="63E3DEF3"/>
    <w:rsid w:val="64571021"/>
    <w:rsid w:val="64D6D9BF"/>
    <w:rsid w:val="657BF22D"/>
    <w:rsid w:val="65B34049"/>
    <w:rsid w:val="65FEF3C8"/>
    <w:rsid w:val="663D295B"/>
    <w:rsid w:val="66DB2123"/>
    <w:rsid w:val="67A7B528"/>
    <w:rsid w:val="67D59607"/>
    <w:rsid w:val="6808B006"/>
    <w:rsid w:val="69262585"/>
    <w:rsid w:val="695857DE"/>
    <w:rsid w:val="6972C07C"/>
    <w:rsid w:val="698BDD24"/>
    <w:rsid w:val="69C4FB49"/>
    <w:rsid w:val="6A0770D1"/>
    <w:rsid w:val="6A4A3851"/>
    <w:rsid w:val="6AA46D40"/>
    <w:rsid w:val="6B2EF0CC"/>
    <w:rsid w:val="6BED3687"/>
    <w:rsid w:val="6C403687"/>
    <w:rsid w:val="6CEF1406"/>
    <w:rsid w:val="6D5ED480"/>
    <w:rsid w:val="6D905B98"/>
    <w:rsid w:val="6DCA808A"/>
    <w:rsid w:val="6DE56CA6"/>
    <w:rsid w:val="6F2A5DC7"/>
    <w:rsid w:val="6F3ABC20"/>
    <w:rsid w:val="6F748C2E"/>
    <w:rsid w:val="6F84A34C"/>
    <w:rsid w:val="6FB58830"/>
    <w:rsid w:val="6FEA32BF"/>
    <w:rsid w:val="707ADE38"/>
    <w:rsid w:val="7187C988"/>
    <w:rsid w:val="71A61138"/>
    <w:rsid w:val="72568C6C"/>
    <w:rsid w:val="72703B40"/>
    <w:rsid w:val="736C7DAC"/>
    <w:rsid w:val="738E0418"/>
    <w:rsid w:val="74584E3E"/>
    <w:rsid w:val="74747179"/>
    <w:rsid w:val="748FEEA8"/>
    <w:rsid w:val="74B1CE06"/>
    <w:rsid w:val="756777B8"/>
    <w:rsid w:val="758669CB"/>
    <w:rsid w:val="763C9D60"/>
    <w:rsid w:val="766B6112"/>
    <w:rsid w:val="76BBE994"/>
    <w:rsid w:val="776D454E"/>
    <w:rsid w:val="78890FEA"/>
    <w:rsid w:val="78C9D66D"/>
    <w:rsid w:val="79B58C26"/>
    <w:rsid w:val="79E41D3F"/>
    <w:rsid w:val="7AA4E610"/>
    <w:rsid w:val="7AD6DBC0"/>
    <w:rsid w:val="7AF32E41"/>
    <w:rsid w:val="7BD96031"/>
    <w:rsid w:val="7BFE6A59"/>
    <w:rsid w:val="7CCD0158"/>
    <w:rsid w:val="7D2F62E0"/>
    <w:rsid w:val="7D83FF7F"/>
    <w:rsid w:val="7DE4C694"/>
    <w:rsid w:val="7E814D39"/>
    <w:rsid w:val="7F0E2CA3"/>
    <w:rsid w:val="7F27BD66"/>
    <w:rsid w:val="7F38F83D"/>
    <w:rsid w:val="7F46A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Helpard RW@ADM(IM) DJCIS@Defence O365</lastModifiedBy>
  <revision>7</revision>
  <lastPrinted>2018-04-19T15:20:00.0000000Z</lastPrinted>
  <dcterms:created xsi:type="dcterms:W3CDTF">2021-01-29T16:31:00.0000000Z</dcterms:created>
  <dcterms:modified xsi:type="dcterms:W3CDTF">2021-02-12T18:42:19.7667072Z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