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313D76F0">
      <w:pPr>
        <w:rPr>
          <w:sz w:val="32"/>
          <w:szCs w:val="32"/>
        </w:rPr>
      </w:pPr>
      <w:r w:rsidRPr="63723901" w:rsidR="001C1E78">
        <w:rPr>
          <w:sz w:val="32"/>
          <w:szCs w:val="32"/>
        </w:rPr>
        <w:t xml:space="preserve">EO </w:t>
      </w:r>
      <w:r w:rsidRPr="63723901" w:rsidR="559C5364">
        <w:rPr>
          <w:sz w:val="32"/>
          <w:szCs w:val="32"/>
        </w:rPr>
        <w:t>001</w:t>
      </w:r>
      <w:r w:rsidRPr="63723901" w:rsidR="001C1E78">
        <w:rPr>
          <w:sz w:val="32"/>
          <w:szCs w:val="32"/>
        </w:rPr>
        <w:t>.</w:t>
      </w:r>
      <w:r w:rsidRPr="63723901" w:rsidR="0E320C3B">
        <w:rPr>
          <w:sz w:val="32"/>
          <w:szCs w:val="32"/>
        </w:rPr>
        <w:t>01</w:t>
      </w:r>
      <w:r w:rsidRPr="63723901" w:rsidR="001C1E78">
        <w:rPr>
          <w:sz w:val="32"/>
          <w:szCs w:val="32"/>
        </w:rPr>
        <w:t xml:space="preserve"> - </w:t>
      </w:r>
      <w:r w:rsidRPr="63723901" w:rsidR="7F48B9AC">
        <w:rPr>
          <w:sz w:val="32"/>
          <w:szCs w:val="32"/>
        </w:rPr>
        <w:t>Analyze</w:t>
      </w:r>
      <w:r w:rsidRPr="63723901" w:rsidR="7F48B9AC">
        <w:rPr>
          <w:sz w:val="32"/>
          <w:szCs w:val="32"/>
        </w:rPr>
        <w:t xml:space="preserve"> Link 11</w:t>
      </w:r>
    </w:p>
    <w:p w:rsidR="4E583430" w:rsidP="0DC8B91F" w:rsidRDefault="4E583430" w14:paraId="59BC0261" w14:textId="05769CE0">
      <w:pPr>
        <w:pStyle w:val="Style1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cs="Times New Roman"/>
        </w:rPr>
      </w:pPr>
      <w:r w:rsidRPr="0DC8B91F" w:rsidR="4E583430">
        <w:rPr>
          <w:rFonts w:ascii="Times New Roman" w:hAnsi="Times New Roman" w:cs="Times New Roman"/>
        </w:rPr>
        <w:t>001.01.0</w:t>
      </w:r>
      <w:r w:rsidRPr="0DC8B91F" w:rsidR="72FF6031">
        <w:rPr>
          <w:rFonts w:ascii="Times New Roman" w:hAnsi="Times New Roman" w:cs="Times New Roman"/>
        </w:rPr>
        <w:t>5</w:t>
      </w:r>
      <w:r w:rsidRPr="0DC8B91F" w:rsidR="001C1E78">
        <w:rPr>
          <w:rFonts w:ascii="Times New Roman" w:hAnsi="Times New Roman" w:cs="Times New Roman"/>
        </w:rPr>
        <w:t xml:space="preserve">- </w:t>
      </w:r>
      <w:r w:rsidRPr="0DC8B91F" w:rsidR="02014399">
        <w:rPr>
          <w:rFonts w:ascii="Times New Roman" w:hAnsi="Times New Roman" w:cs="Times New Roman"/>
        </w:rPr>
        <w:t>Define Link 11B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127A5BA3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127A5BA3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65831BCC" w:rsidRDefault="001C1E78" w14:paraId="70F63B5A" w14:textId="4F7989B8">
            <w:pPr>
              <w:rPr>
                <w:lang w:val="en-CA"/>
              </w:rPr>
            </w:pPr>
            <w:r w:rsidRPr="65831BCC" w:rsidR="6C44BCCE">
              <w:rPr>
                <w:lang w:val="en-CA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0DC8B91F" w:rsidRDefault="001C1E78" w14:paraId="314FD918" w14:textId="110EB71C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07C1FD9C" w:rsidR="20CB777D">
              <w:rPr>
                <w:lang w:val="en-CA"/>
              </w:rPr>
              <w:t xml:space="preserve">After </w:t>
            </w:r>
            <w:r w:rsidRPr="07C1FD9C" w:rsidR="00CFC0D7">
              <w:rPr>
                <w:lang w:val="en-CA"/>
              </w:rPr>
              <w:t xml:space="preserve">LO </w:t>
            </w:r>
            <w:r w:rsidRPr="07C1FD9C" w:rsidR="20CB777D">
              <w:rPr>
                <w:lang w:val="en-CA"/>
              </w:rPr>
              <w:t>001.01.0</w:t>
            </w:r>
            <w:r w:rsidRPr="07C1FD9C" w:rsidR="1764A3AC">
              <w:rPr>
                <w:lang w:val="en-CA"/>
              </w:rPr>
              <w:t>4</w:t>
            </w:r>
          </w:p>
        </w:tc>
      </w:tr>
      <w:tr w:rsidR="001C1E78" w:rsidTr="127A5BA3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127A5BA3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65831BCC" w:rsidRDefault="001C1E78" w14:paraId="03B7F4D5" w14:textId="1EC59F8C">
            <w:pPr>
              <w:rPr>
                <w:lang w:val="en-CA"/>
              </w:rPr>
            </w:pPr>
            <w:r w:rsidRPr="07C1FD9C" w:rsidR="7E88FF93">
              <w:rPr>
                <w:b w:val="0"/>
                <w:bCs w:val="0"/>
                <w:lang w:val="en-CA"/>
              </w:rPr>
              <w:t>50</w:t>
            </w:r>
            <w:r w:rsidRPr="07C1FD9C" w:rsidR="31FB243E">
              <w:rPr>
                <w:b w:val="0"/>
                <w:bCs w:val="0"/>
                <w:lang w:val="en-CA"/>
              </w:rPr>
              <w:t xml:space="preserve"> </w:t>
            </w:r>
            <w:r w:rsidRPr="07C1FD9C" w:rsidR="00D86536">
              <w:rPr>
                <w:lang w:val="en-CA"/>
              </w:rPr>
              <w:t>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65831BCC" w:rsidRDefault="001C1E78" w14:paraId="433845DA" w14:textId="68803C15">
            <w:pPr>
              <w:rPr>
                <w:lang w:val="en-CA"/>
              </w:rPr>
            </w:pPr>
            <w:r w:rsidRPr="65831BCC" w:rsidR="088EF67D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65831BCC" w:rsidRDefault="001C1E78" w14:paraId="60DC980E" w14:textId="49F2D419">
            <w:pPr>
              <w:rPr>
                <w:lang w:val="en-CA"/>
              </w:rPr>
            </w:pPr>
            <w:r w:rsidRPr="65831BCC" w:rsidR="088EF67D">
              <w:rPr>
                <w:lang w:val="en-CA"/>
              </w:rPr>
              <w:t>TDL 300 Qualified Instructor</w:t>
            </w:r>
          </w:p>
        </w:tc>
      </w:tr>
      <w:tr w:rsidR="001C1E78" w:rsidTr="127A5BA3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127A5BA3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127A5BA3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65831BCC" w:rsidRDefault="001C1E78" w14:paraId="300F3A50" w14:textId="5A9F8F2A">
            <w:pPr>
              <w:rPr>
                <w:lang w:val="en-CA"/>
              </w:rPr>
            </w:pPr>
            <w:r w:rsidRPr="0DC8B91F" w:rsidR="001C1E78">
              <w:rPr>
                <w:lang w:val="en-CA"/>
              </w:rPr>
              <w:t>1)</w:t>
            </w:r>
            <w:r w:rsidRPr="0DC8B91F" w:rsidR="1908A50F">
              <w:rPr>
                <w:lang w:val="en-CA"/>
              </w:rPr>
              <w:t xml:space="preserve"> </w:t>
            </w:r>
            <w:r w:rsidRPr="0DC8B91F" w:rsidR="669B5561">
              <w:rPr>
                <w:lang w:val="en-CA"/>
              </w:rPr>
              <w:t>Identify Link 11B characteristics</w:t>
            </w:r>
          </w:p>
          <w:p w:rsidRPr="004178B8" w:rsidR="001C1E78" w:rsidP="07C1FD9C" w:rsidRDefault="001C1E78" w14:paraId="040C951F" w14:textId="13D57C0F">
            <w:pPr>
              <w:rPr>
                <w:lang w:val="en-CA"/>
              </w:rPr>
            </w:pPr>
            <w:r w:rsidRPr="07C1FD9C" w:rsidR="76619187">
              <w:rPr>
                <w:lang w:val="en-CA"/>
              </w:rPr>
              <w:t>2) Identify differences between Reporting Units and Participating Units Link 11</w:t>
            </w:r>
          </w:p>
          <w:p w:rsidRPr="004178B8" w:rsidR="001C1E78" w:rsidP="07C1FD9C" w:rsidRDefault="001C1E78" w14:paraId="2CDD127A" w14:textId="6EB86B02">
            <w:pPr>
              <w:pStyle w:val="Normal"/>
              <w:rPr>
                <w:lang w:val="en-CA"/>
              </w:rPr>
            </w:pPr>
            <w:r w:rsidRPr="07C1FD9C" w:rsidR="66DD94BC">
              <w:rPr>
                <w:lang w:val="en-CA"/>
              </w:rPr>
              <w:t>3) Compare Link 11A and Link11B</w:t>
            </w:r>
          </w:p>
          <w:p w:rsidRPr="004178B8" w:rsidR="001C1E78" w:rsidP="07C1FD9C" w:rsidRDefault="001C1E78" w14:paraId="533CDBF0" w14:textId="79780EC1">
            <w:pPr>
              <w:pStyle w:val="Normal"/>
              <w:rPr>
                <w:lang w:val="en-CA"/>
              </w:rPr>
            </w:pPr>
            <w:r w:rsidRPr="07C1FD9C" w:rsidR="66DD94BC">
              <w:rPr>
                <w:lang w:val="en-CA"/>
              </w:rPr>
              <w:t>4</w:t>
            </w:r>
            <w:r w:rsidRPr="07C1FD9C" w:rsidR="15EE82D1">
              <w:rPr>
                <w:lang w:val="en-CA"/>
              </w:rPr>
              <w:t>) Identify Link 11 Gateways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0DC8B91F" w:rsidRDefault="001C1E78" w14:paraId="703EE95A" w14:textId="6A7BA4D0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07C1FD9C" w:rsidR="37C88247">
              <w:rPr>
                <w:lang w:val="en-CA"/>
              </w:rPr>
              <w:t>Collaborative Problem Solving</w:t>
            </w:r>
          </w:p>
          <w:p w:rsidRPr="00ED7D0A" w:rsidR="001C1E78" w:rsidP="0DC8B91F" w:rsidRDefault="001C1E78" w14:paraId="5FF0DEA1" w14:textId="4E96217D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07C1FD9C" w:rsidR="6996E140">
              <w:rPr>
                <w:lang w:val="en-CA"/>
              </w:rPr>
              <w:t>Interactive Lecture</w:t>
            </w:r>
          </w:p>
          <w:p w:rsidRPr="00ED7D0A" w:rsidR="001C1E78" w:rsidP="0DC8B91F" w:rsidRDefault="001C1E78" w14:paraId="60CE6DF6" w14:textId="1CCA492F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0DC8B91F" w:rsidR="6996E140">
              <w:rPr>
                <w:lang w:val="en-CA"/>
              </w:rPr>
              <w:t>Best Summary</w:t>
            </w:r>
          </w:p>
        </w:tc>
      </w:tr>
      <w:tr w:rsidR="001C1E78" w:rsidTr="127A5BA3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127A5BA3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25041498">
            <w:pPr>
              <w:rPr>
                <w:lang w:val="en-CA"/>
              </w:rPr>
            </w:pPr>
            <w:r w:rsidRPr="0DC8B91F" w:rsidR="102B86C7">
              <w:rPr>
                <w:lang w:val="en-CA"/>
              </w:rPr>
              <w:t>Nil</w:t>
            </w:r>
          </w:p>
        </w:tc>
      </w:tr>
      <w:tr w:rsidR="001C1E78" w:rsidTr="127A5BA3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2D081029" w:rsidP="59BC57C3" w:rsidRDefault="2D081029" w14:paraId="66F5B4CD" w14:textId="449B28F7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9BC57C3" w:rsidR="2D08102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Introduction - </w:t>
            </w:r>
          </w:p>
          <w:p w:rsidR="59BC57C3" w:rsidP="59BC57C3" w:rsidRDefault="59BC57C3" w14:paraId="5FAE4DE9" w14:textId="54FBE3E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5057AC75" w:rsidP="59BC57C3" w:rsidRDefault="5057AC75" w14:paraId="37B13BBD" w14:textId="68CAF0E4">
            <w:pPr>
              <w:pStyle w:val="ListParagraph"/>
              <w:numPr>
                <w:ilvl w:val="0"/>
                <w:numId w:val="16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9BC57C3" w:rsidR="5057AC7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open the lesson with a guided discussion </w:t>
            </w:r>
            <w:r w:rsidRPr="59BC57C3" w:rsidR="67AF5DF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on the use of Link 11B and explore the </w:t>
            </w:r>
            <w:r w:rsidRPr="59BC57C3" w:rsidR="67AF5DF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trainee's</w:t>
            </w:r>
            <w:r w:rsidRPr="59BC57C3" w:rsidR="67AF5DF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experiences with it.</w:t>
            </w:r>
          </w:p>
          <w:p w:rsidR="59BC57C3" w:rsidP="59BC57C3" w:rsidRDefault="59BC57C3" w14:paraId="16157B7B" w14:textId="6CF97326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52729FBC" w:rsidP="59BC57C3" w:rsidRDefault="52729FBC" w14:paraId="37341F5D" w14:textId="306ABE1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9BC57C3" w:rsidR="52729FB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Activity - </w:t>
            </w:r>
          </w:p>
          <w:p w:rsidR="59BC57C3" w:rsidP="59BC57C3" w:rsidRDefault="59BC57C3" w14:paraId="2EF6E7DE" w14:textId="08E673B7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61FA9B9D" w:rsidP="59BC57C3" w:rsidRDefault="61FA9B9D" w14:paraId="4AD2066D" w14:textId="6598932F">
            <w:pPr>
              <w:pStyle w:val="ListParagraph"/>
              <w:numPr>
                <w:ilvl w:val="0"/>
                <w:numId w:val="16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9BC57C3" w:rsidR="61FA9B9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point out the appropriate content in the TDL 200 Workbook that covers this topic.</w:t>
            </w:r>
          </w:p>
          <w:p w:rsidR="67AF5DFF" w:rsidP="59BC57C3" w:rsidRDefault="67AF5DFF" w14:paraId="3B6F9BC2" w14:textId="13BFBD33">
            <w:pPr>
              <w:pStyle w:val="ListParagraph"/>
              <w:numPr>
                <w:ilvl w:val="0"/>
                <w:numId w:val="16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9BC57C3" w:rsidR="67AF5DF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then conduct an interactive lecture explaining the learning objectives</w:t>
            </w:r>
          </w:p>
          <w:p w:rsidR="67AF5DFF" w:rsidP="59BC57C3" w:rsidRDefault="67AF5DFF" w14:paraId="58D86958" w14:textId="30E5E843">
            <w:pPr>
              <w:pStyle w:val="ListParagraph"/>
              <w:numPr>
                <w:ilvl w:val="0"/>
                <w:numId w:val="16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9BC57C3" w:rsidR="67AF5DF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start a collaborative </w:t>
            </w:r>
            <w:r w:rsidRPr="59BC57C3" w:rsidR="4FBB9C0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problem-solving</w:t>
            </w:r>
            <w:r w:rsidRPr="59BC57C3" w:rsidR="67AF5DF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activity where groups of students will represent Link 11A and Link 11B</w:t>
            </w:r>
            <w:r w:rsidRPr="59BC57C3" w:rsidR="4FDD75C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networks. Individuals will be designated as gateways. Trainees will be asked to figure out h</w:t>
            </w:r>
            <w:r w:rsidRPr="59BC57C3" w:rsidR="211C82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ow to pass information between the Link 11A and B networks using the gateways. Finally, the groups will be asked what equipment they will require to ensure succes</w:t>
            </w:r>
            <w:r w:rsidRPr="59BC57C3" w:rsidR="7425FA8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s.</w:t>
            </w:r>
          </w:p>
          <w:p w:rsidR="59BC57C3" w:rsidP="59BC57C3" w:rsidRDefault="59BC57C3" w14:paraId="22D1A989" w14:textId="7C3BDEA6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67E05DFC" w:rsidP="59BC57C3" w:rsidRDefault="67E05DFC" w14:paraId="62FF20E2" w14:textId="47E2EB4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9BC57C3" w:rsidR="67E05D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Conclusion -</w:t>
            </w:r>
            <w:r w:rsidRPr="59BC57C3" w:rsidR="67E05DF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</w:p>
          <w:p w:rsidR="59BC57C3" w:rsidP="59BC57C3" w:rsidRDefault="59BC57C3" w14:paraId="52B0B600" w14:textId="69568248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7425FA85" w:rsidP="59BC57C3" w:rsidRDefault="7425FA85" w14:paraId="53FA6B08" w14:textId="3C3879A6">
            <w:pPr>
              <w:pStyle w:val="ListParagraph"/>
              <w:numPr>
                <w:ilvl w:val="0"/>
                <w:numId w:val="16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9BC57C3" w:rsidR="7425FA8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lead a best summary activity</w:t>
            </w:r>
            <w:r w:rsidRPr="59BC57C3" w:rsidR="3F13DA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to summarize the </w:t>
            </w:r>
            <w:r w:rsidRPr="59BC57C3" w:rsidR="1489C6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lesson.</w:t>
            </w:r>
          </w:p>
          <w:p w:rsidRPr="00E70B70" w:rsidR="001C1E78" w:rsidP="1A6EF3FE" w:rsidRDefault="001C1E78" w14:paraId="5619916E" w14:textId="71AE1354">
            <w:pPr>
              <w:pStyle w:val="Normal"/>
              <w:rPr>
                <w:lang w:val="en-CA"/>
              </w:rPr>
            </w:pPr>
          </w:p>
        </w:tc>
      </w:tr>
      <w:tr w:rsidR="001C1E78" w:rsidTr="127A5BA3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127A5BA3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127A5BA3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0DC8B91F" w:rsidRDefault="001C1E78" w14:paraId="0EB146A4" w14:textId="01C82982">
            <w:pPr>
              <w:rPr>
                <w:lang w:val="en-CA"/>
              </w:rPr>
            </w:pPr>
            <w:r w:rsidRPr="127A5BA3" w:rsidR="001C1E78">
              <w:rPr>
                <w:lang w:val="en-CA"/>
              </w:rPr>
              <w:t>1)</w:t>
            </w:r>
            <w:r w:rsidRPr="127A5BA3" w:rsidR="397B24E7">
              <w:rPr>
                <w:lang w:val="en-CA"/>
              </w:rPr>
              <w:t xml:space="preserve"> PowerPoint </w:t>
            </w:r>
            <w:r w:rsidRPr="127A5BA3" w:rsidR="213BD450">
              <w:rPr>
                <w:lang w:val="en-CA"/>
              </w:rPr>
              <w:t>Presentation</w:t>
            </w:r>
          </w:p>
          <w:p w:rsidRPr="004178B8" w:rsidR="001C1E78" w:rsidP="0DC8B91F" w:rsidRDefault="001C1E78" w14:paraId="3A4BE5F6" w14:textId="6A49A5D0">
            <w:pPr>
              <w:rPr>
                <w:lang w:val="en-CA"/>
              </w:rPr>
            </w:pPr>
            <w:r w:rsidRPr="0DC8B91F" w:rsidR="001C1E78">
              <w:rPr>
                <w:lang w:val="en-CA"/>
              </w:rPr>
              <w:t xml:space="preserve">2) </w:t>
            </w:r>
            <w:r w:rsidRPr="0DC8B91F" w:rsidR="61A9A6D8">
              <w:rPr>
                <w:lang w:val="en-CA"/>
              </w:rPr>
              <w:t>TDL Workbook</w:t>
            </w:r>
          </w:p>
          <w:p w:rsidRPr="004178B8" w:rsidR="001C1E78" w:rsidP="35F56386" w:rsidRDefault="001C1E78" w14:paraId="7AC22A22" w14:textId="1FF223BE">
            <w:pPr>
              <w:pStyle w:val="Normal"/>
              <w:rPr>
                <w:lang w:val="en-CA"/>
              </w:rPr>
            </w:pPr>
            <w:r w:rsidRPr="35F56386" w:rsidR="61A9A6D8">
              <w:rPr>
                <w:lang w:val="en-CA"/>
              </w:rPr>
              <w:t xml:space="preserve">3) </w:t>
            </w:r>
            <w:r w:rsidRPr="35F56386" w:rsidR="121D5250">
              <w:rPr>
                <w:lang w:val="en-CA"/>
              </w:rPr>
              <w:t>Problem Solving Activity</w:t>
            </w:r>
          </w:p>
          <w:p w:rsidRPr="004178B8" w:rsidR="001C1E78" w:rsidP="0DC8B91F" w:rsidRDefault="001C1E78" w14:paraId="41EFC28B" w14:textId="4157AE8B">
            <w:pPr>
              <w:pStyle w:val="Normal"/>
              <w:rPr>
                <w:lang w:val="en-CA"/>
              </w:rPr>
            </w:pP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0DC8B91F" w:rsidRDefault="001C1E78" w14:paraId="0CFA22CE" w14:textId="52CCBCD5">
            <w:pPr>
              <w:rPr>
                <w:lang w:val="en-CA"/>
              </w:rPr>
            </w:pPr>
            <w:r w:rsidRPr="07C1FD9C" w:rsidR="001C1E78">
              <w:rPr>
                <w:lang w:val="en-CA"/>
              </w:rPr>
              <w:t>1</w:t>
            </w:r>
            <w:r w:rsidRPr="07C1FD9C" w:rsidR="001C1E78">
              <w:rPr>
                <w:lang w:val="en-CA"/>
              </w:rPr>
              <w:t>)</w:t>
            </w:r>
            <w:r w:rsidRPr="07C1FD9C" w:rsidR="7A45C958">
              <w:rPr>
                <w:lang w:val="en-CA"/>
              </w:rPr>
              <w:t xml:space="preserve"> MIL-STD </w:t>
            </w:r>
            <w:r w:rsidRPr="07C1FD9C" w:rsidR="068F335E">
              <w:rPr>
                <w:lang w:val="en-CA"/>
              </w:rPr>
              <w:t>6</w:t>
            </w:r>
            <w:r w:rsidRPr="07C1FD9C" w:rsidR="7A45C958">
              <w:rPr>
                <w:lang w:val="en-CA"/>
              </w:rPr>
              <w:t>011</w:t>
            </w:r>
          </w:p>
          <w:p w:rsidRPr="004178B8" w:rsidR="001C1E78" w:rsidP="0DC8B91F" w:rsidRDefault="001C1E78" w14:paraId="3A1BDE02" w14:textId="6F88CF4B">
            <w:pPr>
              <w:rPr>
                <w:lang w:val="en-CA"/>
              </w:rPr>
            </w:pPr>
            <w:r w:rsidRPr="0DC8B91F" w:rsidR="001C1E78">
              <w:rPr>
                <w:lang w:val="en-CA"/>
              </w:rPr>
              <w:t>2</w:t>
            </w:r>
            <w:r w:rsidRPr="0DC8B91F" w:rsidR="001C1E78">
              <w:rPr>
                <w:lang w:val="en-CA"/>
              </w:rPr>
              <w:t>)</w:t>
            </w:r>
            <w:r w:rsidRPr="0DC8B91F" w:rsidR="5CE61849">
              <w:rPr>
                <w:lang w:val="en-CA"/>
              </w:rPr>
              <w:t xml:space="preserve"> STANAG 5011</w:t>
            </w:r>
          </w:p>
          <w:p w:rsidRPr="004178B8" w:rsidR="001C1E78" w:rsidP="0DC8B91F" w:rsidRDefault="001C1E78" w14:paraId="3BA12361" w14:textId="691DBD58">
            <w:pPr>
              <w:pStyle w:val="Normal"/>
              <w:rPr>
                <w:lang w:val="en-CA"/>
              </w:rPr>
            </w:pPr>
            <w:r w:rsidRPr="0DC8B91F" w:rsidR="5CE61849">
              <w:rPr>
                <w:lang w:val="en-CA"/>
              </w:rPr>
              <w:t>3) Understanding Link 1</w:t>
            </w:r>
            <w:r w:rsidRPr="0DC8B91F" w:rsidR="5CE61849">
              <w:rPr>
                <w:lang w:val="en-CA"/>
              </w:rPr>
              <w:t>1</w:t>
            </w:r>
          </w:p>
          <w:p w:rsidRPr="004178B8" w:rsidR="001C1E78" w:rsidP="53126DD8" w:rsidRDefault="001C1E78" w14:paraId="3110FCB1" w14:textId="0E46C894">
            <w:pPr>
              <w:pStyle w:val="Normal"/>
              <w:rPr>
                <w:lang w:val="en-CA"/>
              </w:rPr>
            </w:pPr>
            <w:r w:rsidRPr="53126DD8" w:rsidR="57E254C8">
              <w:rPr>
                <w:lang w:val="en-CA"/>
              </w:rPr>
              <w:t>4) Understanding Voice and Datalink Networking</w:t>
            </w:r>
          </w:p>
          <w:p w:rsidRPr="004178B8" w:rsidR="001C1E78" w:rsidP="0DC8B91F" w:rsidRDefault="001C1E78" w14:paraId="78A97F2F" w14:textId="46C4FF5C">
            <w:pPr>
              <w:pStyle w:val="Normal"/>
              <w:rPr>
                <w:lang w:val="en-CA"/>
              </w:rPr>
            </w:pPr>
            <w:r w:rsidRPr="53126DD8" w:rsidR="3D22AEAC">
              <w:rPr>
                <w:lang w:val="en-CA"/>
              </w:rPr>
              <w:t>5) AIT Guide</w:t>
            </w:r>
          </w:p>
        </w:tc>
      </w:tr>
      <w:tr w:rsidR="001C1E78" w:rsidTr="127A5BA3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127A5BA3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127A5BA3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0DC8B91F" w:rsidRDefault="001C1E78" w14:paraId="4B99F1FB" w14:textId="5E91CC12">
            <w:pPr>
              <w:rPr>
                <w:lang w:val="en-CA"/>
              </w:rPr>
            </w:pPr>
            <w:r w:rsidRPr="0DC8B91F" w:rsidR="2E370A27">
              <w:rPr>
                <w:lang w:val="en-CA"/>
              </w:rPr>
              <w:t>Refer to AIT Guide for direction on how to conduct Advance Instruction Techniques.</w:t>
            </w:r>
          </w:p>
          <w:p w:rsidRPr="00C21E62" w:rsidR="001C1E78" w:rsidP="0DC8B91F" w:rsidRDefault="001C1E78" w14:paraId="6BC1E5B5" w14:textId="1A71B0C8">
            <w:pPr>
              <w:pStyle w:val="Normal"/>
              <w:rPr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CFC0D7"/>
    <w:rsid w:val="00D25CDC"/>
    <w:rsid w:val="00D64D25"/>
    <w:rsid w:val="00D86536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2014399"/>
    <w:rsid w:val="037609F3"/>
    <w:rsid w:val="068F335E"/>
    <w:rsid w:val="071F1A32"/>
    <w:rsid w:val="07855918"/>
    <w:rsid w:val="07A7187E"/>
    <w:rsid w:val="07C1FD9C"/>
    <w:rsid w:val="087568C8"/>
    <w:rsid w:val="088EF67D"/>
    <w:rsid w:val="08B94C4C"/>
    <w:rsid w:val="0B11EAC0"/>
    <w:rsid w:val="0C3BFE5C"/>
    <w:rsid w:val="0CD936BE"/>
    <w:rsid w:val="0DC8B91F"/>
    <w:rsid w:val="0E320C3B"/>
    <w:rsid w:val="0F8687F7"/>
    <w:rsid w:val="0FBB36C9"/>
    <w:rsid w:val="0FE2CDD3"/>
    <w:rsid w:val="1019A83D"/>
    <w:rsid w:val="102B86C7"/>
    <w:rsid w:val="116A19BF"/>
    <w:rsid w:val="11D49E24"/>
    <w:rsid w:val="1217FEDB"/>
    <w:rsid w:val="121D5250"/>
    <w:rsid w:val="127A5BA3"/>
    <w:rsid w:val="1489C693"/>
    <w:rsid w:val="1510FDC5"/>
    <w:rsid w:val="15EE82D1"/>
    <w:rsid w:val="1764A3AC"/>
    <w:rsid w:val="17BA5642"/>
    <w:rsid w:val="18113A53"/>
    <w:rsid w:val="187A5162"/>
    <w:rsid w:val="18EDEB8C"/>
    <w:rsid w:val="1908A50F"/>
    <w:rsid w:val="194A9944"/>
    <w:rsid w:val="1A270604"/>
    <w:rsid w:val="1A448937"/>
    <w:rsid w:val="1A6EF3FE"/>
    <w:rsid w:val="1C41467C"/>
    <w:rsid w:val="1CB7A019"/>
    <w:rsid w:val="1D4C6B3F"/>
    <w:rsid w:val="1E089AE0"/>
    <w:rsid w:val="1E4E7475"/>
    <w:rsid w:val="1EBE0E57"/>
    <w:rsid w:val="1F7F7BDA"/>
    <w:rsid w:val="20336A92"/>
    <w:rsid w:val="203D802A"/>
    <w:rsid w:val="20CB777D"/>
    <w:rsid w:val="211C8293"/>
    <w:rsid w:val="213BD450"/>
    <w:rsid w:val="2215BF62"/>
    <w:rsid w:val="22D191F4"/>
    <w:rsid w:val="22DA997F"/>
    <w:rsid w:val="236DFEC9"/>
    <w:rsid w:val="237C01E2"/>
    <w:rsid w:val="244FF5FB"/>
    <w:rsid w:val="24D201A4"/>
    <w:rsid w:val="261CA5EC"/>
    <w:rsid w:val="261E7005"/>
    <w:rsid w:val="26D12094"/>
    <w:rsid w:val="278923C6"/>
    <w:rsid w:val="28659D4D"/>
    <w:rsid w:val="2A090E11"/>
    <w:rsid w:val="2A487723"/>
    <w:rsid w:val="2A4A5992"/>
    <w:rsid w:val="2A4D6DA0"/>
    <w:rsid w:val="2B072F82"/>
    <w:rsid w:val="2B9BA626"/>
    <w:rsid w:val="2C13E4EF"/>
    <w:rsid w:val="2C4D688F"/>
    <w:rsid w:val="2D081029"/>
    <w:rsid w:val="2D9B74EE"/>
    <w:rsid w:val="2E0EA047"/>
    <w:rsid w:val="2E370A27"/>
    <w:rsid w:val="2E466C15"/>
    <w:rsid w:val="2EC274AE"/>
    <w:rsid w:val="2EE1AB01"/>
    <w:rsid w:val="2FA47463"/>
    <w:rsid w:val="30B916C6"/>
    <w:rsid w:val="31FB243E"/>
    <w:rsid w:val="337789D8"/>
    <w:rsid w:val="337BD161"/>
    <w:rsid w:val="33A06459"/>
    <w:rsid w:val="35F56386"/>
    <w:rsid w:val="363F018D"/>
    <w:rsid w:val="365A1340"/>
    <w:rsid w:val="37A04FE8"/>
    <w:rsid w:val="37C88247"/>
    <w:rsid w:val="397B24E7"/>
    <w:rsid w:val="39DFDE0D"/>
    <w:rsid w:val="3B2F2838"/>
    <w:rsid w:val="3C104AE8"/>
    <w:rsid w:val="3D19655B"/>
    <w:rsid w:val="3D22AEAC"/>
    <w:rsid w:val="3F13DA5D"/>
    <w:rsid w:val="44D929FE"/>
    <w:rsid w:val="46761BBA"/>
    <w:rsid w:val="46A538B8"/>
    <w:rsid w:val="46ADA37F"/>
    <w:rsid w:val="47022914"/>
    <w:rsid w:val="47606884"/>
    <w:rsid w:val="47661AEF"/>
    <w:rsid w:val="47AE98EF"/>
    <w:rsid w:val="4946BABA"/>
    <w:rsid w:val="494FDAF5"/>
    <w:rsid w:val="49EFFBD8"/>
    <w:rsid w:val="4B22FD6B"/>
    <w:rsid w:val="4BD59A37"/>
    <w:rsid w:val="4C7CBA24"/>
    <w:rsid w:val="4E46EDFC"/>
    <w:rsid w:val="4E583430"/>
    <w:rsid w:val="4F961A0B"/>
    <w:rsid w:val="4FBB9C00"/>
    <w:rsid w:val="4FDD75CF"/>
    <w:rsid w:val="5057AC75"/>
    <w:rsid w:val="50D3AAFC"/>
    <w:rsid w:val="52729FBC"/>
    <w:rsid w:val="53126DD8"/>
    <w:rsid w:val="556BF942"/>
    <w:rsid w:val="559C5364"/>
    <w:rsid w:val="56C34A08"/>
    <w:rsid w:val="56FA3D2D"/>
    <w:rsid w:val="57E254C8"/>
    <w:rsid w:val="5820A980"/>
    <w:rsid w:val="585126E4"/>
    <w:rsid w:val="58ADD460"/>
    <w:rsid w:val="58F5D14A"/>
    <w:rsid w:val="59BC57C3"/>
    <w:rsid w:val="59C5DEDB"/>
    <w:rsid w:val="5C93054E"/>
    <w:rsid w:val="5CB7CE79"/>
    <w:rsid w:val="5CB8EF45"/>
    <w:rsid w:val="5CE61849"/>
    <w:rsid w:val="5E3605D3"/>
    <w:rsid w:val="5E6228F8"/>
    <w:rsid w:val="60CE9B09"/>
    <w:rsid w:val="61A9A6D8"/>
    <w:rsid w:val="61FA9B9D"/>
    <w:rsid w:val="62F13889"/>
    <w:rsid w:val="63359A1B"/>
    <w:rsid w:val="63723901"/>
    <w:rsid w:val="63C74301"/>
    <w:rsid w:val="642CE26D"/>
    <w:rsid w:val="64C7EFE7"/>
    <w:rsid w:val="65831BCC"/>
    <w:rsid w:val="65B34049"/>
    <w:rsid w:val="65FEF3C8"/>
    <w:rsid w:val="660D3A0C"/>
    <w:rsid w:val="669B5561"/>
    <w:rsid w:val="66DD94BC"/>
    <w:rsid w:val="671F8104"/>
    <w:rsid w:val="6725DAF3"/>
    <w:rsid w:val="67AF5DFF"/>
    <w:rsid w:val="67E05DFC"/>
    <w:rsid w:val="685C15D6"/>
    <w:rsid w:val="68B90632"/>
    <w:rsid w:val="6972C07C"/>
    <w:rsid w:val="6996E140"/>
    <w:rsid w:val="6A0770D1"/>
    <w:rsid w:val="6AA46D40"/>
    <w:rsid w:val="6B2EF0CC"/>
    <w:rsid w:val="6C44BCCE"/>
    <w:rsid w:val="6CCBF926"/>
    <w:rsid w:val="6CEF1406"/>
    <w:rsid w:val="6D5ED480"/>
    <w:rsid w:val="6F748C2E"/>
    <w:rsid w:val="6FB58830"/>
    <w:rsid w:val="724BDEF0"/>
    <w:rsid w:val="72AB5332"/>
    <w:rsid w:val="72FF6031"/>
    <w:rsid w:val="7398C27E"/>
    <w:rsid w:val="7425FA85"/>
    <w:rsid w:val="74584E3E"/>
    <w:rsid w:val="748FEEA8"/>
    <w:rsid w:val="74B1CE06"/>
    <w:rsid w:val="763C9D60"/>
    <w:rsid w:val="76619187"/>
    <w:rsid w:val="766B6112"/>
    <w:rsid w:val="78890FEA"/>
    <w:rsid w:val="78C9D66D"/>
    <w:rsid w:val="7A45C958"/>
    <w:rsid w:val="7AF32E41"/>
    <w:rsid w:val="7BD96031"/>
    <w:rsid w:val="7D1DACA8"/>
    <w:rsid w:val="7DC70DD8"/>
    <w:rsid w:val="7DE4C694"/>
    <w:rsid w:val="7E814D39"/>
    <w:rsid w:val="7E85DAD7"/>
    <w:rsid w:val="7E88FF93"/>
    <w:rsid w:val="7F48B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Quigley PO1 SM@NPTG TDCA@Defence O365</lastModifiedBy>
  <revision>11</revision>
  <lastPrinted>2018-04-19T15:20:00.0000000Z</lastPrinted>
  <dcterms:created xsi:type="dcterms:W3CDTF">2021-01-29T16:31:00.0000000Z</dcterms:created>
  <dcterms:modified xsi:type="dcterms:W3CDTF">2021-02-12T14:44:58.3696086Z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