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7E802A95">
      <w:pPr>
        <w:rPr>
          <w:sz w:val="32"/>
          <w:szCs w:val="32"/>
        </w:rPr>
      </w:pPr>
      <w:r w:rsidRPr="4A313B6E" w:rsidR="001C1E78">
        <w:rPr>
          <w:sz w:val="32"/>
          <w:szCs w:val="32"/>
        </w:rPr>
        <w:t xml:space="preserve">EO </w:t>
      </w:r>
      <w:r w:rsidRPr="4A313B6E" w:rsidR="559C5364">
        <w:rPr>
          <w:sz w:val="32"/>
          <w:szCs w:val="32"/>
        </w:rPr>
        <w:t>001</w:t>
      </w:r>
      <w:r w:rsidRPr="4A313B6E" w:rsidR="001C1E78">
        <w:rPr>
          <w:sz w:val="32"/>
          <w:szCs w:val="32"/>
        </w:rPr>
        <w:t>.</w:t>
      </w:r>
      <w:r w:rsidRPr="4A313B6E" w:rsidR="0E320C3B">
        <w:rPr>
          <w:sz w:val="32"/>
          <w:szCs w:val="32"/>
        </w:rPr>
        <w:t>01</w:t>
      </w:r>
      <w:r w:rsidRPr="4A313B6E" w:rsidR="001C1E78">
        <w:rPr>
          <w:sz w:val="32"/>
          <w:szCs w:val="32"/>
        </w:rPr>
        <w:t xml:space="preserve"> - </w:t>
      </w:r>
      <w:r w:rsidRPr="4A313B6E" w:rsidR="15E992E7">
        <w:rPr>
          <w:sz w:val="32"/>
          <w:szCs w:val="32"/>
        </w:rPr>
        <w:t>Analyze Link 11</w:t>
      </w:r>
    </w:p>
    <w:p w:rsidR="4E583430" w:rsidP="23257F02" w:rsidRDefault="4E583430" w14:paraId="31C93926" w14:textId="0904A66C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23257F02" w:rsidR="4E583430">
        <w:rPr>
          <w:rFonts w:ascii="Times New Roman" w:hAnsi="Times New Roman" w:cs="Times New Roman"/>
        </w:rPr>
        <w:t>001.01.0</w:t>
      </w:r>
      <w:r w:rsidRPr="23257F02" w:rsidR="52B90C4E">
        <w:rPr>
          <w:rFonts w:ascii="Times New Roman" w:hAnsi="Times New Roman" w:cs="Times New Roman"/>
        </w:rPr>
        <w:t>4</w:t>
      </w:r>
      <w:r w:rsidRPr="23257F02" w:rsidR="001C1E78">
        <w:rPr>
          <w:rFonts w:ascii="Times New Roman" w:hAnsi="Times New Roman" w:cs="Times New Roman"/>
        </w:rPr>
        <w:t xml:space="preserve">- </w:t>
      </w:r>
      <w:r w:rsidRPr="23257F02" w:rsidR="4A6A326A">
        <w:rPr>
          <w:rFonts w:ascii="Times New Roman" w:hAnsi="Times New Roman" w:cs="Times New Roman"/>
        </w:rPr>
        <w:t>Mitigate Link 11 Limitations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8299BED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8299BED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65831BCC" w:rsidRDefault="001C1E78" w14:paraId="70F63B5A" w14:textId="4F7989B8">
            <w:pPr>
              <w:rPr>
                <w:lang w:val="en-CA"/>
              </w:rPr>
            </w:pPr>
            <w:r w:rsidRPr="65831BCC" w:rsidR="6C44BCC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3257F02" w:rsidRDefault="001C1E78" w14:paraId="314FD918" w14:textId="1EA5025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7A5391AA" w:rsidR="65C2A725">
              <w:rPr>
                <w:lang w:val="en-CA"/>
              </w:rPr>
              <w:t>After</w:t>
            </w:r>
            <w:r w:rsidRPr="7A5391AA" w:rsidR="5E3BC9B3">
              <w:rPr>
                <w:lang w:val="en-CA"/>
              </w:rPr>
              <w:t xml:space="preserve"> LO</w:t>
            </w:r>
            <w:r w:rsidRPr="7A5391AA" w:rsidR="65C2A725">
              <w:rPr>
                <w:lang w:val="en-CA"/>
              </w:rPr>
              <w:t xml:space="preserve"> 001.01.03</w:t>
            </w:r>
          </w:p>
        </w:tc>
      </w:tr>
      <w:tr w:rsidR="001C1E78" w:rsidTr="48299BED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8299BED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03B7F4D5" w14:textId="50CF9AD2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433845DA" w14:textId="68803C15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65831BCC" w:rsidRDefault="001C1E78" w14:paraId="60DC980E" w14:textId="49F2D419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TDL 300 Qualified Instructor</w:t>
            </w:r>
          </w:p>
        </w:tc>
      </w:tr>
      <w:tr w:rsidR="001C1E78" w:rsidTr="48299BED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8299BED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8299BED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65831BCC" w:rsidRDefault="001C1E78" w14:paraId="300F3A50" w14:textId="360F5A97">
            <w:pPr>
              <w:rPr>
                <w:lang w:val="en-CA"/>
              </w:rPr>
            </w:pPr>
            <w:r w:rsidRPr="23257F02" w:rsidR="001C1E78">
              <w:rPr>
                <w:lang w:val="en-CA"/>
              </w:rPr>
              <w:t>1)</w:t>
            </w:r>
            <w:r w:rsidRPr="23257F02" w:rsidR="72AB5332">
              <w:rPr>
                <w:lang w:val="en-CA"/>
              </w:rPr>
              <w:t xml:space="preserve"> </w:t>
            </w:r>
            <w:r w:rsidRPr="23257F02" w:rsidR="6EC94094">
              <w:rPr>
                <w:lang w:val="en-CA"/>
              </w:rPr>
              <w:t>Identify Link 11 Participating Unit and Track block values</w:t>
            </w:r>
          </w:p>
          <w:p w:rsidRPr="004178B8" w:rsidR="001C1E78" w:rsidP="23257F02" w:rsidRDefault="001C1E78" w14:paraId="41B11F1B" w14:textId="0DA5DB4D">
            <w:pPr>
              <w:rPr>
                <w:lang w:val="en-CA"/>
              </w:rPr>
            </w:pPr>
            <w:r w:rsidRPr="23257F02" w:rsidR="001C1E78">
              <w:rPr>
                <w:lang w:val="en-CA"/>
              </w:rPr>
              <w:t xml:space="preserve">2) </w:t>
            </w:r>
            <w:r w:rsidRPr="23257F02" w:rsidR="635DD742">
              <w:rPr>
                <w:lang w:val="en-CA"/>
              </w:rPr>
              <w:t>Identify Relationship between System Coordinate Center, Data Link Reference Point, Unit Position and Track Positions</w:t>
            </w:r>
          </w:p>
          <w:p w:rsidRPr="004178B8" w:rsidR="001C1E78" w:rsidP="23257F02" w:rsidRDefault="001C1E78" w14:paraId="0D0C0D48" w14:textId="27FAB055">
            <w:pPr>
              <w:pStyle w:val="Normal"/>
              <w:rPr>
                <w:lang w:val="en-CA"/>
              </w:rPr>
            </w:pPr>
            <w:r w:rsidRPr="23257F02" w:rsidR="635DD742">
              <w:rPr>
                <w:lang w:val="en-CA"/>
              </w:rPr>
              <w:t xml:space="preserve">3) </w:t>
            </w:r>
            <w:r w:rsidRPr="23257F02" w:rsidR="09EF91AF">
              <w:rPr>
                <w:lang w:val="en-CA"/>
              </w:rPr>
              <w:t xml:space="preserve">Identify </w:t>
            </w:r>
            <w:r w:rsidRPr="23257F02" w:rsidR="1EFAAE1A">
              <w:rPr>
                <w:lang w:val="en-CA"/>
              </w:rPr>
              <w:t>Track Quality Limitations imposed by Link 11</w:t>
            </w:r>
          </w:p>
          <w:p w:rsidRPr="004178B8" w:rsidR="001C1E78" w:rsidP="23257F02" w:rsidRDefault="001C1E78" w14:paraId="533CDBF0" w14:textId="7A906D0C">
            <w:pPr>
              <w:pStyle w:val="Normal"/>
              <w:rPr>
                <w:lang w:val="en-CA"/>
              </w:rPr>
            </w:pPr>
            <w:r w:rsidRPr="23257F02" w:rsidR="1EFAAE1A">
              <w:rPr>
                <w:lang w:val="en-CA"/>
              </w:rPr>
              <w:t>4) Identify Track Identity and Amplification Limitations imposed by Link 11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23257F02" w:rsidRDefault="001C1E78" w14:paraId="017DACA4" w14:textId="690F762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F6DFF90" w:rsidR="63B90433">
              <w:rPr>
                <w:lang w:val="en-CA"/>
              </w:rPr>
              <w:t>Guided Discussion</w:t>
            </w:r>
          </w:p>
          <w:p w:rsidRPr="00ED7D0A" w:rsidR="001C1E78" w:rsidP="23257F02" w:rsidRDefault="001C1E78" w14:paraId="6CADD04E" w14:textId="11D76966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FEDB628" w:rsidR="2B638B57">
              <w:rPr>
                <w:lang w:val="en-CA"/>
              </w:rPr>
              <w:t>Interactive Lecture</w:t>
            </w:r>
          </w:p>
          <w:p w:rsidRPr="00ED7D0A" w:rsidR="001C1E78" w:rsidP="23257F02" w:rsidRDefault="001C1E78" w14:paraId="2868F54A" w14:textId="1A70F79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F6DFF90" w:rsidR="32B88DB8">
              <w:rPr>
                <w:lang w:val="en-CA"/>
              </w:rPr>
              <w:t>Think Pair Share</w:t>
            </w:r>
          </w:p>
          <w:p w:rsidRPr="00ED7D0A" w:rsidR="001C1E78" w:rsidP="23257F02" w:rsidRDefault="001C1E78" w14:paraId="60CE6DF6" w14:textId="73ED885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3257F02" w:rsidR="2B638B57">
              <w:rPr>
                <w:lang w:val="en-CA"/>
              </w:rPr>
              <w:t>Best Summary</w:t>
            </w:r>
          </w:p>
        </w:tc>
      </w:tr>
      <w:tr w:rsidR="001C1E78" w:rsidTr="48299BED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8299BED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47C06894">
            <w:pPr>
              <w:rPr>
                <w:lang w:val="en-CA"/>
              </w:rPr>
            </w:pPr>
            <w:r w:rsidRPr="23257F02" w:rsidR="3C6DD3C2">
              <w:rPr>
                <w:lang w:val="en-CA"/>
              </w:rPr>
              <w:t>Nil</w:t>
            </w:r>
          </w:p>
        </w:tc>
      </w:tr>
      <w:tr w:rsidR="001C1E78" w:rsidTr="48299BED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15D65385">
            <w:pPr>
              <w:rPr>
                <w:lang w:val="en-CA"/>
              </w:rPr>
            </w:pPr>
            <w:r w:rsidRPr="153D5D9A" w:rsidR="0937565C">
              <w:rPr>
                <w:b w:val="1"/>
                <w:bCs w:val="1"/>
                <w:lang w:val="en-CA"/>
              </w:rPr>
              <w:t>Introduction -</w:t>
            </w:r>
          </w:p>
          <w:p w:rsidR="153D5D9A" w:rsidP="153D5D9A" w:rsidRDefault="153D5D9A" w14:paraId="60E80F59" w14:textId="2EFB53E7">
            <w:pPr>
              <w:pStyle w:val="Normal"/>
              <w:rPr>
                <w:b w:val="1"/>
                <w:bCs w:val="1"/>
                <w:lang w:val="en-CA"/>
              </w:rPr>
            </w:pPr>
          </w:p>
          <w:p w:rsidR="0937565C" w:rsidP="153D5D9A" w:rsidRDefault="0937565C" w14:paraId="0908126C" w14:textId="4956D2E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093756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open the lesson with a guided discussion on how one would describe their location to another person over the phone. The purpose of this is to introduce the idea of cartesian (distance from a fixed point), and geodetic (a point described with a map) coordinates.</w:t>
            </w:r>
          </w:p>
          <w:p w:rsidR="153D5D9A" w:rsidP="153D5D9A" w:rsidRDefault="153D5D9A" w14:paraId="55442B68" w14:textId="7321E80B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937565C" w:rsidP="153D5D9A" w:rsidRDefault="0937565C" w14:paraId="5656B02E" w14:textId="7451CB00">
            <w:pPr>
              <w:pStyle w:val="Normal"/>
              <w:rPr>
                <w:lang w:val="en-CA"/>
              </w:rPr>
            </w:pPr>
            <w:r w:rsidRPr="153D5D9A" w:rsidR="0937565C">
              <w:rPr>
                <w:b w:val="1"/>
                <w:bCs w:val="1"/>
                <w:lang w:val="en-CA"/>
              </w:rPr>
              <w:t>Activity -</w:t>
            </w:r>
            <w:r w:rsidRPr="153D5D9A" w:rsidR="0937565C">
              <w:rPr>
                <w:lang w:val="en-CA"/>
              </w:rPr>
              <w:t xml:space="preserve"> </w:t>
            </w:r>
          </w:p>
          <w:p w:rsidR="153D5D9A" w:rsidP="153D5D9A" w:rsidRDefault="153D5D9A" w14:paraId="391D4A43" w14:textId="737D5FAE">
            <w:pPr>
              <w:pStyle w:val="Normal"/>
              <w:rPr>
                <w:lang w:val="en-CA"/>
              </w:rPr>
            </w:pPr>
          </w:p>
          <w:p w:rsidR="49720D30" w:rsidP="153D5D9A" w:rsidRDefault="49720D30" w14:paraId="7A2DF52D" w14:textId="6F54F361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49720D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point out the relevant information contained within the TDL 200 Workbook matching this lesson.</w:t>
            </w:r>
          </w:p>
          <w:p w:rsidR="49720D30" w:rsidP="153D5D9A" w:rsidRDefault="49720D30" w14:paraId="6782F9D4" w14:textId="05AE5160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49720D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deliver an Interactive Lecture covering the LOs</w:t>
            </w:r>
          </w:p>
          <w:p w:rsidR="49720D30" w:rsidP="153D5D9A" w:rsidRDefault="49720D30" w14:paraId="0A5E0437" w14:textId="5DE44102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49720D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</w:t>
            </w:r>
            <w:r w:rsidRPr="153D5D9A" w:rsidR="67467B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ructor will assign the TDL 200 Workbook assignment on octal notation</w:t>
            </w:r>
          </w:p>
          <w:p w:rsidR="67467BBE" w:rsidP="153D5D9A" w:rsidRDefault="67467BBE" w14:paraId="6C7E78DD" w14:textId="5F94DCE8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67467B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lead a </w:t>
            </w:r>
            <w:r w:rsidRPr="153D5D9A" w:rsidR="301530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think pair share</w:t>
            </w:r>
            <w:r w:rsidRPr="153D5D9A" w:rsidR="2A18C37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exercise</w:t>
            </w:r>
            <w:r w:rsidRPr="153D5D9A" w:rsidR="67467B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by assigning a point in the room as DLRP, and have trainees describe </w:t>
            </w:r>
            <w:r w:rsidRPr="153D5D9A" w:rsidR="67467B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</w:t>
            </w:r>
            <w:r w:rsidRPr="153D5D9A" w:rsidR="1D611EE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eir location as SCC, and a </w:t>
            </w:r>
            <w:r w:rsidRPr="153D5D9A" w:rsidR="35608A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series of objects as tracks. The trainees will attempt to identify the object referenced by the cartesian coordinates.</w:t>
            </w:r>
          </w:p>
          <w:p w:rsidR="153D5D9A" w:rsidP="153D5D9A" w:rsidRDefault="153D5D9A" w14:paraId="3C864BCD" w14:textId="77CF66F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291FB3A" w:rsidP="153D5D9A" w:rsidRDefault="6291FB3A" w14:paraId="4A2F5463" w14:textId="69C9A51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6291FB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 -</w:t>
            </w:r>
            <w:r w:rsidRPr="153D5D9A" w:rsidR="6291FB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153D5D9A" w:rsidP="153D5D9A" w:rsidRDefault="153D5D9A" w14:paraId="2BBB34A8" w14:textId="129C1F3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35608A3B" w:rsidP="153D5D9A" w:rsidRDefault="35608A3B" w14:paraId="3FA8CE3C" w14:textId="6F6B55E7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53D5D9A" w:rsidR="35608A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lead a best summary to sum up the lecture.</w:t>
            </w:r>
          </w:p>
          <w:p w:rsidRPr="00E70B70" w:rsidR="001C1E78" w:rsidP="4914B141" w:rsidRDefault="001C1E78" w14:paraId="5619916E" w14:textId="37AD6DA0">
            <w:pPr>
              <w:pStyle w:val="Normal"/>
              <w:rPr>
                <w:lang w:val="en-CA"/>
              </w:rPr>
            </w:pPr>
          </w:p>
        </w:tc>
      </w:tr>
      <w:tr w:rsidR="001C1E78" w:rsidTr="48299BED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8299BED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8299BED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23257F02" w:rsidRDefault="001C1E78" w14:paraId="0EB146A4" w14:textId="17C81A33">
            <w:pPr>
              <w:rPr>
                <w:lang w:val="en-CA"/>
              </w:rPr>
            </w:pPr>
            <w:r w:rsidRPr="23257F02" w:rsidR="001C1E78">
              <w:rPr>
                <w:lang w:val="en-CA"/>
              </w:rPr>
              <w:t>1)</w:t>
            </w:r>
            <w:r w:rsidRPr="23257F02" w:rsidR="407A5772">
              <w:rPr>
                <w:lang w:val="en-CA"/>
              </w:rPr>
              <w:t xml:space="preserve"> </w:t>
            </w:r>
            <w:r w:rsidRPr="23257F02" w:rsidR="407A5772">
              <w:rPr>
                <w:lang w:val="en-CA"/>
              </w:rPr>
              <w:t>PowerPoint</w:t>
            </w:r>
            <w:r w:rsidRPr="23257F02" w:rsidR="407A5772">
              <w:rPr>
                <w:lang w:val="en-CA"/>
              </w:rPr>
              <w:t xml:space="preserve"> Slides</w:t>
            </w:r>
          </w:p>
          <w:p w:rsidRPr="004178B8" w:rsidR="001C1E78" w:rsidP="23257F02" w:rsidRDefault="001C1E78" w14:paraId="3DDE277D" w14:textId="7F6E6B0F">
            <w:pPr>
              <w:rPr>
                <w:lang w:val="en-CA"/>
              </w:rPr>
            </w:pPr>
            <w:r w:rsidRPr="5FEDB628" w:rsidR="001C1E78">
              <w:rPr>
                <w:lang w:val="en-CA"/>
              </w:rPr>
              <w:t xml:space="preserve">2) </w:t>
            </w:r>
            <w:r w:rsidRPr="5FEDB628" w:rsidR="702E457A">
              <w:rPr>
                <w:lang w:val="en-CA"/>
              </w:rPr>
              <w:t>TDL Workbook</w:t>
            </w:r>
          </w:p>
          <w:p w:rsidRPr="004178B8" w:rsidR="001C1E78" w:rsidP="23257F02" w:rsidRDefault="001C1E78" w14:paraId="41EFC28B" w14:textId="37D51947">
            <w:pPr>
              <w:pStyle w:val="Normal"/>
              <w:rPr>
                <w:lang w:val="en-CA"/>
              </w:rPr>
            </w:pPr>
            <w:r w:rsidRPr="48299BED" w:rsidR="71001556">
              <w:rPr>
                <w:lang w:val="en-CA"/>
              </w:rPr>
              <w:t>3</w:t>
            </w:r>
            <w:r w:rsidRPr="48299BED" w:rsidR="702E457A">
              <w:rPr>
                <w:lang w:val="en-CA"/>
              </w:rPr>
              <w:t xml:space="preserve">) </w:t>
            </w:r>
            <w:r w:rsidRPr="48299BED" w:rsidR="1E214B7B">
              <w:rPr>
                <w:lang w:val="en-CA"/>
              </w:rPr>
              <w:t>TDL 200 Toolkit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3257F02" w:rsidRDefault="001C1E78" w14:paraId="032AF063" w14:textId="0CCB56F1">
            <w:pPr>
              <w:rPr>
                <w:lang w:val="en-CA"/>
              </w:rPr>
            </w:pPr>
            <w:r w:rsidRPr="23257F02" w:rsidR="001C1E78">
              <w:rPr>
                <w:lang w:val="en-CA"/>
              </w:rPr>
              <w:t>1</w:t>
            </w:r>
            <w:r w:rsidRPr="23257F02" w:rsidR="001C1E78">
              <w:rPr>
                <w:lang w:val="en-CA"/>
              </w:rPr>
              <w:t>)</w:t>
            </w:r>
            <w:r w:rsidRPr="23257F02" w:rsidR="5C4F92CE">
              <w:rPr>
                <w:lang w:val="en-CA"/>
              </w:rPr>
              <w:t xml:space="preserve"> MIL-STD 3011</w:t>
            </w:r>
          </w:p>
          <w:p w:rsidRPr="004178B8" w:rsidR="001C1E78" w:rsidP="23257F02" w:rsidRDefault="001C1E78" w14:paraId="11B1916E" w14:textId="0E4B96A4">
            <w:pPr>
              <w:rPr>
                <w:lang w:val="en-CA"/>
              </w:rPr>
            </w:pPr>
            <w:r w:rsidRPr="23257F02" w:rsidR="001C1E78">
              <w:rPr>
                <w:lang w:val="en-CA"/>
              </w:rPr>
              <w:t>2</w:t>
            </w:r>
            <w:r w:rsidRPr="23257F02" w:rsidR="001C1E78">
              <w:rPr>
                <w:lang w:val="en-CA"/>
              </w:rPr>
              <w:t>)</w:t>
            </w:r>
            <w:r w:rsidRPr="23257F02" w:rsidR="5E02E692">
              <w:rPr>
                <w:lang w:val="en-CA"/>
              </w:rPr>
              <w:t xml:space="preserve"> STANAG 5511</w:t>
            </w:r>
          </w:p>
          <w:p w:rsidRPr="004178B8" w:rsidR="001C1E78" w:rsidP="48299BED" w:rsidRDefault="001C1E78" w14:paraId="259BAAF8" w14:textId="00FB6330">
            <w:pPr>
              <w:pStyle w:val="Normal"/>
              <w:rPr>
                <w:lang w:val="en-CA"/>
              </w:rPr>
            </w:pPr>
            <w:r w:rsidRPr="48299BED" w:rsidR="5E02E692">
              <w:rPr>
                <w:lang w:val="en-CA"/>
              </w:rPr>
              <w:t>3) Understanding Link 11</w:t>
            </w:r>
          </w:p>
          <w:p w:rsidRPr="004178B8" w:rsidR="001C1E78" w:rsidP="23257F02" w:rsidRDefault="001C1E78" w14:paraId="78A97F2F" w14:textId="75BB66EF">
            <w:pPr>
              <w:pStyle w:val="Normal"/>
              <w:rPr>
                <w:lang w:val="en-CA"/>
              </w:rPr>
            </w:pPr>
            <w:r w:rsidRPr="48299BED" w:rsidR="01E0EC8B">
              <w:rPr>
                <w:lang w:val="en-CA"/>
              </w:rPr>
              <w:t>4) AIT Manual</w:t>
            </w:r>
          </w:p>
        </w:tc>
      </w:tr>
      <w:tr w:rsidR="001C1E78" w:rsidTr="48299BED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8299BED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8299BED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23257F02" w:rsidRDefault="001C1E78" w14:paraId="0DC244B6" w14:textId="1EF470C7">
            <w:pPr>
              <w:rPr>
                <w:lang w:val="en-CA"/>
              </w:rPr>
            </w:pPr>
            <w:r w:rsidRPr="0F6DFF90" w:rsidR="1E17C854">
              <w:rPr>
                <w:lang w:val="en-CA"/>
              </w:rPr>
              <w:t xml:space="preserve">Refer to AIT manual for conducting advanced instructional techniques </w:t>
            </w:r>
            <w:r w:rsidRPr="0F6DFF90" w:rsidR="004E6A13">
              <w:rPr>
                <w:lang w:val="en-CA"/>
              </w:rPr>
              <w:t>referenced</w:t>
            </w:r>
            <w:r w:rsidRPr="0F6DFF90" w:rsidR="1E17C854">
              <w:rPr>
                <w:lang w:val="en-CA"/>
              </w:rPr>
              <w:t xml:space="preserve"> in the lesson.</w:t>
            </w:r>
          </w:p>
          <w:p w:rsidRPr="00C21E62" w:rsidR="001C1E78" w:rsidP="23257F02" w:rsidRDefault="001C1E78" w14:paraId="6BC1E5B5" w14:textId="31949AED">
            <w:pPr>
              <w:pStyle w:val="Normal"/>
              <w:rPr>
                <w:lang w:val="en-CA"/>
              </w:rPr>
            </w:pPr>
            <w:r w:rsidRPr="0F6DFF90" w:rsidR="1E17C854">
              <w:rPr>
                <w:lang w:val="en-CA"/>
              </w:rPr>
              <w:t xml:space="preserve">The purpose of the </w:t>
            </w:r>
            <w:r w:rsidRPr="0F6DFF90" w:rsidR="3EF3A6C2">
              <w:rPr>
                <w:lang w:val="en-CA"/>
              </w:rPr>
              <w:t>think pair share</w:t>
            </w:r>
            <w:r w:rsidRPr="0F6DFF90" w:rsidR="1E17C854">
              <w:rPr>
                <w:lang w:val="en-CA"/>
              </w:rPr>
              <w:t xml:space="preserve"> is to understand the mathematical calculations used in the calculation of unit and track positions, and to understand that </w:t>
            </w:r>
            <w:r w:rsidRPr="0F6DFF90" w:rsidR="7C690706">
              <w:rPr>
                <w:lang w:val="en-CA"/>
              </w:rPr>
              <w:t>there are fundamental limitations on range possible with Link 11, not to be able to perform the calculations themselves.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4E6A13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E0EC8B"/>
    <w:rsid w:val="03A1A8FB"/>
    <w:rsid w:val="07855918"/>
    <w:rsid w:val="087568C8"/>
    <w:rsid w:val="088EF67D"/>
    <w:rsid w:val="08B94C4C"/>
    <w:rsid w:val="0937565C"/>
    <w:rsid w:val="09D53555"/>
    <w:rsid w:val="09EF91AF"/>
    <w:rsid w:val="0C3BFE5C"/>
    <w:rsid w:val="0D6BB9B2"/>
    <w:rsid w:val="0D750CFD"/>
    <w:rsid w:val="0E320C3B"/>
    <w:rsid w:val="0F6DFF90"/>
    <w:rsid w:val="0F8687F7"/>
    <w:rsid w:val="0FBB36C9"/>
    <w:rsid w:val="0FE2CDD3"/>
    <w:rsid w:val="1014A739"/>
    <w:rsid w:val="1019A83D"/>
    <w:rsid w:val="116A19BF"/>
    <w:rsid w:val="11B89BF5"/>
    <w:rsid w:val="11D49E24"/>
    <w:rsid w:val="142FE8DC"/>
    <w:rsid w:val="1510FDC5"/>
    <w:rsid w:val="153D5D9A"/>
    <w:rsid w:val="15E992E7"/>
    <w:rsid w:val="1734C25E"/>
    <w:rsid w:val="17BA5642"/>
    <w:rsid w:val="187A5162"/>
    <w:rsid w:val="18EDEB8C"/>
    <w:rsid w:val="197E9CBC"/>
    <w:rsid w:val="197E9CBC"/>
    <w:rsid w:val="1A270604"/>
    <w:rsid w:val="1A448937"/>
    <w:rsid w:val="1C41467C"/>
    <w:rsid w:val="1C4B1CD3"/>
    <w:rsid w:val="1CB7A019"/>
    <w:rsid w:val="1D45228F"/>
    <w:rsid w:val="1D45228F"/>
    <w:rsid w:val="1D4C6B3F"/>
    <w:rsid w:val="1D611EE9"/>
    <w:rsid w:val="1D66CC1E"/>
    <w:rsid w:val="1E089AE0"/>
    <w:rsid w:val="1E17C854"/>
    <w:rsid w:val="1E214B7B"/>
    <w:rsid w:val="1EBE0E57"/>
    <w:rsid w:val="1EFAAE1A"/>
    <w:rsid w:val="1F7F7BDA"/>
    <w:rsid w:val="2019C701"/>
    <w:rsid w:val="201D71DC"/>
    <w:rsid w:val="2215BF62"/>
    <w:rsid w:val="225C5BB1"/>
    <w:rsid w:val="22DA997F"/>
    <w:rsid w:val="23257F02"/>
    <w:rsid w:val="23410EDC"/>
    <w:rsid w:val="237C01E2"/>
    <w:rsid w:val="244FF5FB"/>
    <w:rsid w:val="24D201A4"/>
    <w:rsid w:val="2548DF61"/>
    <w:rsid w:val="261CA5EC"/>
    <w:rsid w:val="261E7005"/>
    <w:rsid w:val="26C47A53"/>
    <w:rsid w:val="26D12094"/>
    <w:rsid w:val="28659D4D"/>
    <w:rsid w:val="2A090E11"/>
    <w:rsid w:val="2A18C37B"/>
    <w:rsid w:val="2A4A5992"/>
    <w:rsid w:val="2A4D6DA0"/>
    <w:rsid w:val="2B638B57"/>
    <w:rsid w:val="2B9BA626"/>
    <w:rsid w:val="2C13E4EF"/>
    <w:rsid w:val="2E0EA047"/>
    <w:rsid w:val="2E466C15"/>
    <w:rsid w:val="2EC274AE"/>
    <w:rsid w:val="2FEBEBF7"/>
    <w:rsid w:val="301530C6"/>
    <w:rsid w:val="30B916C6"/>
    <w:rsid w:val="32B88DB8"/>
    <w:rsid w:val="337789D8"/>
    <w:rsid w:val="33A06459"/>
    <w:rsid w:val="35608A3B"/>
    <w:rsid w:val="365A1340"/>
    <w:rsid w:val="37A04FE8"/>
    <w:rsid w:val="3842EA36"/>
    <w:rsid w:val="3B2F2838"/>
    <w:rsid w:val="3BC5A406"/>
    <w:rsid w:val="3C104AE8"/>
    <w:rsid w:val="3C6DD3C2"/>
    <w:rsid w:val="3D19655B"/>
    <w:rsid w:val="3EF3A6C2"/>
    <w:rsid w:val="404C503A"/>
    <w:rsid w:val="407A5772"/>
    <w:rsid w:val="41087DE8"/>
    <w:rsid w:val="41105044"/>
    <w:rsid w:val="41B878DC"/>
    <w:rsid w:val="42A44E49"/>
    <w:rsid w:val="44715E81"/>
    <w:rsid w:val="44D929FE"/>
    <w:rsid w:val="45535DEF"/>
    <w:rsid w:val="465F0424"/>
    <w:rsid w:val="47661AEF"/>
    <w:rsid w:val="47AE98EF"/>
    <w:rsid w:val="48299BED"/>
    <w:rsid w:val="4857C4E1"/>
    <w:rsid w:val="4914B141"/>
    <w:rsid w:val="4946BABA"/>
    <w:rsid w:val="494FDAF5"/>
    <w:rsid w:val="49720D30"/>
    <w:rsid w:val="49E4FA19"/>
    <w:rsid w:val="4A313B6E"/>
    <w:rsid w:val="4A6A326A"/>
    <w:rsid w:val="4B22FD6B"/>
    <w:rsid w:val="4C7CBA24"/>
    <w:rsid w:val="4D28B861"/>
    <w:rsid w:val="4E46EDFC"/>
    <w:rsid w:val="4E583430"/>
    <w:rsid w:val="4E6176A6"/>
    <w:rsid w:val="5052E50E"/>
    <w:rsid w:val="51268F38"/>
    <w:rsid w:val="521264A5"/>
    <w:rsid w:val="52B90C4E"/>
    <w:rsid w:val="538A85D0"/>
    <w:rsid w:val="54765B3D"/>
    <w:rsid w:val="559C5364"/>
    <w:rsid w:val="5820A980"/>
    <w:rsid w:val="58ADD460"/>
    <w:rsid w:val="58F5D14A"/>
    <w:rsid w:val="59C5DEDB"/>
    <w:rsid w:val="5C4F92CE"/>
    <w:rsid w:val="5C93054E"/>
    <w:rsid w:val="5CB7CE79"/>
    <w:rsid w:val="5CB8EF45"/>
    <w:rsid w:val="5E02E692"/>
    <w:rsid w:val="5E3605D3"/>
    <w:rsid w:val="5E3BC9B3"/>
    <w:rsid w:val="5FEDB628"/>
    <w:rsid w:val="60CE9B09"/>
    <w:rsid w:val="60E842A5"/>
    <w:rsid w:val="6291FB3A"/>
    <w:rsid w:val="635DD742"/>
    <w:rsid w:val="63B90433"/>
    <w:rsid w:val="63C74301"/>
    <w:rsid w:val="642CE26D"/>
    <w:rsid w:val="65831BCC"/>
    <w:rsid w:val="65996558"/>
    <w:rsid w:val="65B34049"/>
    <w:rsid w:val="65C2A725"/>
    <w:rsid w:val="65FEF3C8"/>
    <w:rsid w:val="67467BBE"/>
    <w:rsid w:val="6815E142"/>
    <w:rsid w:val="6972C07C"/>
    <w:rsid w:val="6A0770D1"/>
    <w:rsid w:val="6AA46D40"/>
    <w:rsid w:val="6B2EF0CC"/>
    <w:rsid w:val="6BBE2FDE"/>
    <w:rsid w:val="6BD65B21"/>
    <w:rsid w:val="6C44BCCE"/>
    <w:rsid w:val="6CEF1406"/>
    <w:rsid w:val="6D5ED480"/>
    <w:rsid w:val="6DFEB4A9"/>
    <w:rsid w:val="6EC94094"/>
    <w:rsid w:val="6F748C2E"/>
    <w:rsid w:val="6FB58830"/>
    <w:rsid w:val="702E457A"/>
    <w:rsid w:val="71001556"/>
    <w:rsid w:val="7188D892"/>
    <w:rsid w:val="72AB5332"/>
    <w:rsid w:val="74584E3E"/>
    <w:rsid w:val="748FEEA8"/>
    <w:rsid w:val="74ABA4D6"/>
    <w:rsid w:val="74B1CE06"/>
    <w:rsid w:val="763C9D60"/>
    <w:rsid w:val="766B6112"/>
    <w:rsid w:val="76EF8C84"/>
    <w:rsid w:val="76EF8C84"/>
    <w:rsid w:val="781D96F4"/>
    <w:rsid w:val="78890FEA"/>
    <w:rsid w:val="78C9D66D"/>
    <w:rsid w:val="7933857D"/>
    <w:rsid w:val="7A5391AA"/>
    <w:rsid w:val="7A96F104"/>
    <w:rsid w:val="7AE78121"/>
    <w:rsid w:val="7AF32E41"/>
    <w:rsid w:val="7BD96031"/>
    <w:rsid w:val="7C690706"/>
    <w:rsid w:val="7CBEC350"/>
    <w:rsid w:val="7D2B5AEC"/>
    <w:rsid w:val="7DE4C694"/>
    <w:rsid w:val="7E814D39"/>
    <w:rsid w:val="7EBBE95C"/>
    <w:rsid w:val="7F2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 O365</lastModifiedBy>
  <revision>11</revision>
  <lastPrinted>2018-04-19T15:20:00.0000000Z</lastPrinted>
  <dcterms:created xsi:type="dcterms:W3CDTF">2021-01-29T16:31:00.0000000Z</dcterms:created>
  <dcterms:modified xsi:type="dcterms:W3CDTF">2021-02-12T14:43:05.9490175Z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