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04E02E83" w:rsidRDefault="001C1E78" w14:paraId="3F1A1180" w14:textId="1455D69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04E02E83" w:rsidR="001C1E78">
        <w:rPr>
          <w:sz w:val="32"/>
          <w:szCs w:val="32"/>
        </w:rPr>
        <w:t xml:space="preserve">EO </w:t>
      </w:r>
      <w:r w:rsidRPr="04E02E83" w:rsidR="4E935E87">
        <w:rPr>
          <w:sz w:val="32"/>
          <w:szCs w:val="32"/>
        </w:rPr>
        <w:t>003</w:t>
      </w:r>
      <w:r w:rsidRPr="04E02E83" w:rsidR="001C1E78">
        <w:rPr>
          <w:sz w:val="32"/>
          <w:szCs w:val="32"/>
        </w:rPr>
        <w:t>.</w:t>
      </w:r>
      <w:r w:rsidRPr="04E02E83" w:rsidR="09A5E686">
        <w:rPr>
          <w:sz w:val="32"/>
          <w:szCs w:val="32"/>
        </w:rPr>
        <w:t>01</w:t>
      </w:r>
      <w:r w:rsidRPr="04E02E83" w:rsidR="001C1E78">
        <w:rPr>
          <w:sz w:val="32"/>
          <w:szCs w:val="32"/>
        </w:rPr>
        <w:t xml:space="preserve"> - </w:t>
      </w:r>
      <w:r w:rsidRPr="04E02E83" w:rsidR="7B8BB23F">
        <w:rPr>
          <w:sz w:val="32"/>
          <w:szCs w:val="32"/>
        </w:rPr>
        <w:t>Interpret TDL Organizations</w:t>
      </w:r>
    </w:p>
    <w:p w:rsidRPr="00976FCC" w:rsidR="001C1E78" w:rsidP="001C1E78" w:rsidRDefault="00A23F24" w14:paraId="7C8C15C1" w14:textId="71480409">
      <w:pPr>
        <w:pStyle w:val="Style1"/>
        <w:rPr>
          <w:rFonts w:ascii="Times New Roman" w:hAnsi="Times New Roman" w:cs="Times New Roman"/>
        </w:rPr>
      </w:pPr>
      <w:r w:rsidRPr="04E02E83" w:rsidR="7B8BB23F">
        <w:rPr>
          <w:rFonts w:ascii="Times New Roman" w:hAnsi="Times New Roman" w:cs="Times New Roman"/>
        </w:rPr>
        <w:t>003</w:t>
      </w:r>
      <w:r w:rsidRPr="04E02E83" w:rsidR="001C1E78">
        <w:rPr>
          <w:rFonts w:ascii="Times New Roman" w:hAnsi="Times New Roman" w:cs="Times New Roman"/>
        </w:rPr>
        <w:t>.</w:t>
      </w:r>
      <w:r w:rsidRPr="04E02E83" w:rsidR="165DA9D6">
        <w:rPr>
          <w:rFonts w:ascii="Times New Roman" w:hAnsi="Times New Roman" w:cs="Times New Roman"/>
        </w:rPr>
        <w:t>01</w:t>
      </w:r>
      <w:r w:rsidRPr="04E02E83" w:rsidR="3B2F2838">
        <w:rPr>
          <w:rFonts w:ascii="Times New Roman" w:hAnsi="Times New Roman" w:cs="Times New Roman"/>
        </w:rPr>
        <w:t>.</w:t>
      </w:r>
      <w:r w:rsidRPr="04E02E83" w:rsidR="1DAC3172">
        <w:rPr>
          <w:rFonts w:ascii="Times New Roman" w:hAnsi="Times New Roman" w:cs="Times New Roman"/>
        </w:rPr>
        <w:t>04</w:t>
      </w:r>
      <w:r w:rsidRPr="04E02E83" w:rsidR="001C1E78">
        <w:rPr>
          <w:rFonts w:ascii="Times New Roman" w:hAnsi="Times New Roman" w:cs="Times New Roman"/>
        </w:rPr>
        <w:t xml:space="preserve"> - </w:t>
      </w:r>
      <w:r w:rsidRPr="04E02E83" w:rsidR="3134DFA5">
        <w:rPr>
          <w:rFonts w:ascii="Times New Roman" w:hAnsi="Times New Roman" w:cs="Times New Roman"/>
        </w:rPr>
        <w:t xml:space="preserve">Explain </w:t>
      </w:r>
      <w:r w:rsidRPr="04E02E83" w:rsidR="419C2987">
        <w:rPr>
          <w:rFonts w:ascii="Times New Roman" w:hAnsi="Times New Roman" w:cs="Times New Roman"/>
        </w:rPr>
        <w:t xml:space="preserve">the </w:t>
      </w:r>
      <w:r w:rsidRPr="04E02E83" w:rsidR="3134DFA5">
        <w:rPr>
          <w:rFonts w:ascii="Times New Roman" w:hAnsi="Times New Roman" w:cs="Times New Roman"/>
        </w:rPr>
        <w:t>Interface Control Cell Hierarchy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4AA702E3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4AA702E3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4003A573" w:rsidRDefault="001C1E78" w14:paraId="70F63B5A" w14:textId="20975C9D">
            <w:pPr>
              <w:rPr>
                <w:lang w:val="en-CA"/>
              </w:rPr>
            </w:pPr>
            <w:r w:rsidRPr="4003A573" w:rsidR="5B67D144">
              <w:rPr>
                <w:lang w:val="en-CA"/>
              </w:rPr>
              <w:t>Classroom with Workstation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4003A573" w:rsidRDefault="001C1E78" w14:paraId="314FD918" w14:textId="51571000">
            <w:pPr>
              <w:rPr>
                <w:lang w:val="en-CA"/>
              </w:rPr>
            </w:pPr>
            <w:r w:rsidRPr="4003A573" w:rsidR="5B67D144">
              <w:rPr>
                <w:lang w:val="en-CA"/>
              </w:rPr>
              <w:t>After EO 003.01.03</w:t>
            </w:r>
          </w:p>
        </w:tc>
      </w:tr>
      <w:tr w:rsidR="001C1E78" w:rsidTr="4AA702E3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4AA702E3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4003A573" w:rsidRDefault="001C1E78" w14:paraId="03B7F4D5" w14:textId="4905B69E">
            <w:pPr>
              <w:rPr>
                <w:lang w:val="en-CA"/>
              </w:rPr>
            </w:pPr>
            <w:r w:rsidRPr="71B90BA0" w:rsidR="0EAAEF3B">
              <w:rPr>
                <w:lang w:val="en-CA"/>
              </w:rPr>
              <w:t xml:space="preserve">25 </w:t>
            </w:r>
            <w:r w:rsidRPr="71B90BA0" w:rsidR="64079B81">
              <w:rPr>
                <w:lang w:val="en-CA"/>
              </w:rPr>
              <w:t>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4003A573" w:rsidRDefault="001C1E78" w14:paraId="433845DA" w14:textId="732E5E9F">
            <w:pPr>
              <w:rPr>
                <w:lang w:val="en-CA"/>
              </w:rPr>
            </w:pPr>
            <w:r w:rsidRPr="4003A573" w:rsidR="64079B81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4003A573" w:rsidRDefault="001C1E78" w14:paraId="60DC980E" w14:textId="6CDA8460">
            <w:pPr>
              <w:rPr>
                <w:lang w:val="en-CA"/>
              </w:rPr>
            </w:pPr>
            <w:r w:rsidRPr="4003A573" w:rsidR="64079B81">
              <w:rPr>
                <w:lang w:val="en-CA"/>
              </w:rPr>
              <w:t>TDL 300 Qualified Instructor or Guest Lecture SME</w:t>
            </w:r>
          </w:p>
        </w:tc>
      </w:tr>
      <w:tr w:rsidR="001C1E78" w:rsidTr="4AA702E3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AA702E3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4AA702E3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04E02E83" w:rsidRDefault="001C1E78" w14:paraId="300F3A50" w14:textId="00E9BBC5">
            <w:pPr>
              <w:rPr>
                <w:lang w:val="en-CA"/>
              </w:rPr>
            </w:pPr>
            <w:r w:rsidRPr="04E02E83" w:rsidR="001C1E78">
              <w:rPr>
                <w:lang w:val="en-CA"/>
              </w:rPr>
              <w:t>1)</w:t>
            </w:r>
            <w:r w:rsidRPr="04E02E83" w:rsidR="4252FDFD">
              <w:rPr>
                <w:lang w:val="en-CA"/>
              </w:rPr>
              <w:t xml:space="preserve"> </w:t>
            </w:r>
            <w:r w:rsidRPr="04E02E83" w:rsidR="273277BD">
              <w:rPr>
                <w:lang w:val="en-CA"/>
              </w:rPr>
              <w:t xml:space="preserve">Explain the </w:t>
            </w:r>
            <w:r w:rsidRPr="04E02E83" w:rsidR="13A77439">
              <w:rPr>
                <w:lang w:val="en-CA"/>
              </w:rPr>
              <w:t>ICC Hierarchy (</w:t>
            </w:r>
            <w:r w:rsidRPr="04E02E83" w:rsidR="4252FDFD">
              <w:rPr>
                <w:lang w:val="en-CA"/>
              </w:rPr>
              <w:t>Joint, Maritime, Regional, Tactical, Sector, Wing</w:t>
            </w:r>
            <w:r w:rsidRPr="04E02E83" w:rsidR="3D639487">
              <w:rPr>
                <w:lang w:val="en-CA"/>
              </w:rPr>
              <w:t>)</w:t>
            </w:r>
          </w:p>
          <w:p w:rsidRPr="004178B8" w:rsidR="001C1E78" w:rsidP="4003A573" w:rsidRDefault="001C1E78" w14:paraId="66C11C03" w14:textId="54854CEA">
            <w:pPr>
              <w:rPr>
                <w:lang w:val="en-CA"/>
              </w:rPr>
            </w:pPr>
            <w:r w:rsidRPr="4003A573" w:rsidR="001C1E78">
              <w:rPr>
                <w:lang w:val="en-CA"/>
              </w:rPr>
              <w:t xml:space="preserve">2) </w:t>
            </w:r>
            <w:r w:rsidRPr="4003A573" w:rsidR="77E7FC20">
              <w:rPr>
                <w:lang w:val="en-CA"/>
              </w:rPr>
              <w:t>ICO</w:t>
            </w:r>
          </w:p>
          <w:p w:rsidRPr="004178B8" w:rsidR="001C1E78" w:rsidP="4003A573" w:rsidRDefault="001C1E78" w14:paraId="509805FB" w14:textId="42002D2C">
            <w:pPr>
              <w:rPr>
                <w:lang w:val="en-CA"/>
              </w:rPr>
            </w:pPr>
            <w:r w:rsidRPr="22A6B474" w:rsidR="77E7FC20">
              <w:rPr>
                <w:lang w:val="en-CA"/>
              </w:rPr>
              <w:t xml:space="preserve">3) ICC </w:t>
            </w:r>
            <w:r w:rsidRPr="22A6B474" w:rsidR="35FF29B3">
              <w:rPr>
                <w:lang w:val="en-CA"/>
              </w:rPr>
              <w:t>M</w:t>
            </w:r>
            <w:r w:rsidRPr="22A6B474" w:rsidR="77E7FC20">
              <w:rPr>
                <w:lang w:val="en-CA"/>
              </w:rPr>
              <w:t>anning Scheme</w:t>
            </w:r>
          </w:p>
          <w:p w:rsidRPr="004178B8" w:rsidR="001C1E78" w:rsidP="4003A573" w:rsidRDefault="001C1E78" w14:paraId="533CDBF0" w14:textId="42F35676">
            <w:pPr>
              <w:rPr>
                <w:lang w:val="en-CA"/>
              </w:rPr>
            </w:pPr>
            <w:r w:rsidRPr="4003A573" w:rsidR="77E7FC20">
              <w:rPr>
                <w:lang w:val="en-CA"/>
              </w:rPr>
              <w:t xml:space="preserve">4) </w:t>
            </w:r>
            <w:r w:rsidRPr="4003A573" w:rsidR="614B89AD">
              <w:rPr>
                <w:lang w:val="en-CA"/>
              </w:rPr>
              <w:t xml:space="preserve">Elemental </w:t>
            </w:r>
            <w:r w:rsidRPr="4003A573" w:rsidR="614816AC">
              <w:rPr>
                <w:lang w:val="en-CA"/>
              </w:rPr>
              <w:t xml:space="preserve">ICC </w:t>
            </w:r>
            <w:r w:rsidRPr="4003A573" w:rsidR="4473CDA5">
              <w:rPr>
                <w:lang w:val="en-CA"/>
              </w:rPr>
              <w:t>Construct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="3042BD22" w:rsidP="4003A573" w:rsidRDefault="3042BD22" w14:paraId="55FDCB06" w14:textId="2391B104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4003A573" w:rsidR="3042BD22">
              <w:rPr>
                <w:lang w:val="en-CA"/>
              </w:rPr>
              <w:t>Guided Discussion</w:t>
            </w:r>
          </w:p>
          <w:p w:rsidRPr="00ED7D0A" w:rsidR="001C1E78" w:rsidP="04E02E83" w:rsidRDefault="001C1E78" w14:paraId="16F27F37" w14:textId="30E9108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003A573" w:rsidR="67EAB4E1">
              <w:rPr>
                <w:lang w:val="en-CA"/>
              </w:rPr>
              <w:t>Interactive</w:t>
            </w:r>
            <w:r w:rsidRPr="4003A573" w:rsidR="67EAB4E1">
              <w:rPr>
                <w:lang w:val="en-CA"/>
              </w:rPr>
              <w:t xml:space="preserve"> Lecture</w:t>
            </w:r>
          </w:p>
          <w:p w:rsidRPr="00ED7D0A" w:rsidR="001C1E78" w:rsidP="04E02E83" w:rsidRDefault="001C1E78" w14:paraId="60CE6DF6" w14:textId="2228784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003A573" w:rsidR="67EAB4E1">
              <w:rPr>
                <w:lang w:val="en-CA"/>
              </w:rPr>
              <w:t>Confirmation Questions</w:t>
            </w:r>
          </w:p>
        </w:tc>
      </w:tr>
      <w:tr w:rsidR="001C1E78" w:rsidTr="4AA702E3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4AA702E3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23AC397">
            <w:pPr>
              <w:rPr>
                <w:lang w:val="en-CA"/>
              </w:rPr>
            </w:pPr>
            <w:r w:rsidRPr="4AA702E3" w:rsidR="15E7AD5A">
              <w:rPr>
                <w:lang w:val="en-CA"/>
              </w:rPr>
              <w:t xml:space="preserve">Interface Control Cells are integral to </w:t>
            </w:r>
            <w:r w:rsidRPr="4AA702E3" w:rsidR="24D753D0">
              <w:rPr>
                <w:lang w:val="en-CA"/>
              </w:rPr>
              <w:t xml:space="preserve">the planning and management of any operation or exercise MTN/MTA. As a Multi-Link Operation </w:t>
            </w:r>
            <w:proofErr w:type="gramStart"/>
            <w:r w:rsidRPr="4AA702E3" w:rsidR="24D753D0">
              <w:rPr>
                <w:lang w:val="en-CA"/>
              </w:rPr>
              <w:t>Specialist</w:t>
            </w:r>
            <w:proofErr w:type="gramEnd"/>
            <w:r w:rsidRPr="4AA702E3" w:rsidR="24D753D0">
              <w:rPr>
                <w:lang w:val="en-CA"/>
              </w:rPr>
              <w:t xml:space="preserve"> you may </w:t>
            </w:r>
            <w:r w:rsidRPr="4AA702E3" w:rsidR="6F566AFD">
              <w:rPr>
                <w:lang w:val="en-CA"/>
              </w:rPr>
              <w:t xml:space="preserve">be assigned </w:t>
            </w:r>
            <w:r w:rsidRPr="4AA702E3" w:rsidR="1A3AAD0B">
              <w:rPr>
                <w:lang w:val="en-CA"/>
              </w:rPr>
              <w:t xml:space="preserve">to </w:t>
            </w:r>
            <w:r w:rsidRPr="4AA702E3" w:rsidR="3C7D7EAE">
              <w:rPr>
                <w:lang w:val="en-CA"/>
              </w:rPr>
              <w:t xml:space="preserve">any variety </w:t>
            </w:r>
            <w:r w:rsidRPr="4AA702E3" w:rsidR="3C7D7EAE">
              <w:rPr>
                <w:lang w:val="en-CA"/>
              </w:rPr>
              <w:t xml:space="preserve">of </w:t>
            </w:r>
            <w:r w:rsidRPr="4AA702E3" w:rsidR="18E3CD77">
              <w:rPr>
                <w:lang w:val="en-CA"/>
              </w:rPr>
              <w:t xml:space="preserve"> </w:t>
            </w:r>
            <w:r w:rsidRPr="4AA702E3" w:rsidR="6F566AFD">
              <w:rPr>
                <w:lang w:val="en-CA"/>
              </w:rPr>
              <w:t>ICC</w:t>
            </w:r>
            <w:r w:rsidRPr="4AA702E3" w:rsidR="29CBE545">
              <w:rPr>
                <w:lang w:val="en-CA"/>
              </w:rPr>
              <w:t xml:space="preserve">, or have a need to directly interact with one of these entities while executing </w:t>
            </w:r>
            <w:r w:rsidRPr="4AA702E3" w:rsidR="51D50C3B">
              <w:rPr>
                <w:lang w:val="en-CA"/>
              </w:rPr>
              <w:t xml:space="preserve">data link </w:t>
            </w:r>
            <w:r w:rsidRPr="4AA702E3" w:rsidR="5EA0764E">
              <w:rPr>
                <w:lang w:val="en-CA"/>
              </w:rPr>
              <w:t xml:space="preserve">duties </w:t>
            </w:r>
            <w:r w:rsidRPr="4AA702E3" w:rsidR="79FE28BE">
              <w:rPr>
                <w:lang w:val="en-CA"/>
              </w:rPr>
              <w:t>onboard any given TDL platform.</w:t>
            </w:r>
          </w:p>
        </w:tc>
      </w:tr>
      <w:tr w:rsidR="001C1E78" w:rsidTr="4AA702E3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4AA702E3" w:rsidRDefault="001C1E78" w14:paraId="426D6D02" w14:textId="7F0C8BA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A702E3" w:rsidR="05A0F3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  <w:r w:rsidRPr="4AA702E3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4AA702E3" w:rsidP="4AA702E3" w:rsidRDefault="4AA702E3" w14:paraId="56C5A796" w14:textId="5392441F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22A6B474" w:rsidRDefault="001C1E78" w14:paraId="627FEAAD" w14:textId="55482BE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2A6B474" w:rsidR="57F3339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Interface Control Cell will employ a variety of CAF Personnel and TDL Specialists and will be responsible to the functional Component Commander or Joint Task Force Commander to deal with the day-to-day management and operations of Joint Multi-TDL Networks in order to guarantee optimum TDL performance.</w:t>
            </w:r>
            <w:r w:rsidRPr="22A6B474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22A6B474" w:rsidR="66724E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It is imperative therefore that as a Multi-Link Operations Specialist you have in-depth knowledge of the roles and responsibilities of the ICC</w:t>
            </w:r>
            <w:r w:rsidRPr="22A6B474" w:rsidR="73428E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22A6B474" w:rsidP="22A6B474" w:rsidRDefault="22A6B474" w14:paraId="69E49970" w14:textId="254932A5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4AA702E3" w:rsidRDefault="001C1E78" w14:paraId="76011959" w14:textId="39FCAF0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A702E3" w:rsidR="05A0F3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</w:t>
            </w:r>
            <w:r w:rsidRPr="4AA702E3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4AA702E3" w:rsidP="4AA702E3" w:rsidRDefault="4AA702E3" w14:paraId="7A3BE154" w14:textId="7AE3CE5B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22A6B474" w:rsidRDefault="001C1E78" w14:paraId="29D4FC42" w14:textId="7C32FE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22A6B474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Instructor will facilitate a guided discussion to determine</w:t>
            </w:r>
            <w:r w:rsidRPr="22A6B474" w:rsidR="1AC57B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student</w:t>
            </w:r>
            <w:r w:rsidRPr="22A6B474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knowledge level</w:t>
            </w:r>
            <w:r w:rsidRPr="22A6B474" w:rsidR="353560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(10 Min). </w:t>
            </w:r>
            <w:r w:rsidRPr="22A6B474" w:rsidR="28FA9F2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At appropriate points is the discussion, the I</w:t>
            </w:r>
            <w:r w:rsidRPr="22A6B474" w:rsidR="24CD3C9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nstructor will inject </w:t>
            </w:r>
            <w:r w:rsidRPr="22A6B474" w:rsidR="64E94E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the notion of h</w:t>
            </w:r>
            <w:r w:rsidRPr="22A6B474" w:rsidR="24CD3C9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ierarch</w:t>
            </w:r>
            <w:r w:rsidRPr="22A6B474" w:rsidR="7E939BC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y</w:t>
            </w:r>
            <w:r w:rsidRPr="22A6B474" w:rsidR="6D81E8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, </w:t>
            </w:r>
            <w:r w:rsidRPr="22A6B474" w:rsidR="10DEA2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possible</w:t>
            </w:r>
            <w:r w:rsidRPr="22A6B474" w:rsidR="6D81E8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manning </w:t>
            </w:r>
            <w:r w:rsidRPr="22A6B474" w:rsidR="6A4780D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requirements, </w:t>
            </w:r>
            <w:r w:rsidRPr="22A6B474" w:rsidR="0307E9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and attempt to identify e</w:t>
            </w:r>
            <w:r w:rsidRPr="22A6B474" w:rsidR="6A4780D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lemental instances. </w:t>
            </w:r>
          </w:p>
          <w:p w:rsidR="001C1E78" w:rsidP="22A6B474" w:rsidRDefault="001C1E78" w14:paraId="33C617F9" w14:textId="66DB7F7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22A6B474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deliver Ppt presentation </w:t>
            </w:r>
            <w:r w:rsidRPr="22A6B474" w:rsidR="2EBBB8D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Explain Interface Control Cells</w:t>
            </w:r>
          </w:p>
          <w:p w:rsidR="001C1E78" w:rsidP="22A6B474" w:rsidRDefault="001C1E78" w14:paraId="120814EB" w14:textId="346ADE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  <w:r w:rsidRPr="22A6B474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Trainee confirmation will be completed at the end of this lesson</w:t>
            </w:r>
          </w:p>
          <w:p w:rsidR="001C1E78" w:rsidP="4003A573" w:rsidRDefault="001C1E78" w14:paraId="07A20CF2" w14:textId="6DB13A0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</w:p>
          <w:p w:rsidR="001C1E78" w:rsidP="4AA702E3" w:rsidRDefault="001C1E78" w14:paraId="173CEB40" w14:textId="4C9FBED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A702E3" w:rsidR="05A0F3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4AA702E3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4AA702E3" w:rsidP="4AA702E3" w:rsidRDefault="4AA702E3" w14:paraId="72651DB6" w14:textId="4FEF2B84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22A6B474" w:rsidRDefault="001C1E78" w14:paraId="5619916E" w14:textId="1DBF669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22A6B474" w:rsidR="05A0F3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complete the lesson once trainee demonstrates an understanding of the LO content based on confirmation question participation.</w:t>
            </w:r>
          </w:p>
        </w:tc>
      </w:tr>
      <w:tr w:rsidR="001C1E78" w:rsidTr="4AA702E3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AA702E3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4AA702E3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04E02E83" w:rsidRDefault="001C1E78" w14:paraId="0EB146A4" w14:textId="4EDC7212">
            <w:pPr>
              <w:rPr>
                <w:lang w:val="en-CA"/>
              </w:rPr>
            </w:pPr>
            <w:r w:rsidRPr="04E02E83" w:rsidR="001C1E78">
              <w:rPr>
                <w:lang w:val="en-CA"/>
              </w:rPr>
              <w:t>1)</w:t>
            </w:r>
            <w:r w:rsidRPr="04E02E83" w:rsidR="710EB140">
              <w:rPr>
                <w:lang w:val="en-CA"/>
              </w:rPr>
              <w:t xml:space="preserve"> Workstation and Projector</w:t>
            </w:r>
          </w:p>
          <w:p w:rsidRPr="004178B8" w:rsidR="001C1E78" w:rsidP="04E02E83" w:rsidRDefault="001C1E78" w14:paraId="6C13FB3D" w14:textId="22BA722D">
            <w:pPr>
              <w:rPr>
                <w:lang w:val="en-CA"/>
              </w:rPr>
            </w:pPr>
            <w:r w:rsidRPr="04E02E83" w:rsidR="001C1E78">
              <w:rPr>
                <w:lang w:val="en-CA"/>
              </w:rPr>
              <w:t xml:space="preserve">2) </w:t>
            </w:r>
            <w:r w:rsidRPr="04E02E83" w:rsidR="1DA0CA97">
              <w:rPr>
                <w:lang w:val="en-CA"/>
              </w:rPr>
              <w:t>Whiteboard</w:t>
            </w:r>
          </w:p>
          <w:p w:rsidRPr="004178B8" w:rsidR="001C1E78" w:rsidP="04E02E83" w:rsidRDefault="001C1E78" w14:paraId="07C4A62A" w14:textId="694C7DBA">
            <w:pPr>
              <w:pStyle w:val="Normal"/>
              <w:rPr>
                <w:lang w:val="en-CA"/>
              </w:rPr>
            </w:pPr>
            <w:r w:rsidRPr="04E02E83" w:rsidR="1DA0CA97">
              <w:rPr>
                <w:lang w:val="en-CA"/>
              </w:rPr>
              <w:t>3) Ppt Slides</w:t>
            </w:r>
          </w:p>
          <w:p w:rsidRPr="004178B8" w:rsidR="001C1E78" w:rsidP="04E02E83" w:rsidRDefault="001C1E78" w14:paraId="41EFC28B" w14:textId="284F1920">
            <w:pPr>
              <w:pStyle w:val="Normal"/>
              <w:rPr>
                <w:lang w:val="en-CA"/>
              </w:rPr>
            </w:pPr>
            <w:r w:rsidRPr="04E02E83" w:rsidR="1DA0CA97">
              <w:rPr>
                <w:lang w:val="en-CA"/>
              </w:rPr>
              <w:t>4) Confirmation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04E02E83" w:rsidRDefault="001C1E78" w14:paraId="2607147B" w14:textId="465D6CFD">
            <w:pPr>
              <w:rPr>
                <w:lang w:val="en-CA"/>
              </w:rPr>
            </w:pPr>
            <w:r w:rsidRPr="04E02E83" w:rsidR="001C1E78">
              <w:rPr>
                <w:lang w:val="en-CA"/>
              </w:rPr>
              <w:t>1</w:t>
            </w:r>
            <w:r w:rsidRPr="04E02E83" w:rsidR="001C1E78">
              <w:rPr>
                <w:lang w:val="en-CA"/>
              </w:rPr>
              <w:t>)</w:t>
            </w:r>
            <w:r w:rsidRPr="04E02E83" w:rsidR="05F77624">
              <w:rPr>
                <w:lang w:val="en-CA"/>
              </w:rPr>
              <w:t xml:space="preserve"> Executive Brief</w:t>
            </w:r>
          </w:p>
          <w:p w:rsidRPr="004178B8" w:rsidR="001C1E78" w:rsidP="04E02E83" w:rsidRDefault="001C1E78" w14:paraId="3641280B" w14:textId="0B349423">
            <w:pPr>
              <w:rPr>
                <w:lang w:val="en-CA"/>
              </w:rPr>
            </w:pPr>
            <w:r w:rsidRPr="04E02E83" w:rsidR="001C1E78">
              <w:rPr>
                <w:lang w:val="en-CA"/>
              </w:rPr>
              <w:t>2</w:t>
            </w:r>
            <w:r w:rsidRPr="04E02E83" w:rsidR="001C1E78">
              <w:rPr>
                <w:lang w:val="en-CA"/>
              </w:rPr>
              <w:t>)</w:t>
            </w:r>
            <w:r w:rsidRPr="04E02E83" w:rsidR="05EA7425">
              <w:rPr>
                <w:lang w:val="en-CA"/>
              </w:rPr>
              <w:t xml:space="preserve"> RCN TDL Strategy</w:t>
            </w:r>
          </w:p>
          <w:p w:rsidRPr="004178B8" w:rsidR="001C1E78" w:rsidP="04E02E83" w:rsidRDefault="001C1E78" w14:paraId="78A97F2F" w14:textId="2A0322A4">
            <w:pPr>
              <w:pStyle w:val="Normal"/>
              <w:rPr>
                <w:lang w:val="en-CA"/>
              </w:rPr>
            </w:pPr>
            <w:r w:rsidRPr="04E02E83" w:rsidR="05EA7425">
              <w:rPr>
                <w:lang w:val="en-CA"/>
              </w:rPr>
              <w:t>3) RCAF Data Link CONEMP ver2</w:t>
            </w:r>
          </w:p>
        </w:tc>
      </w:tr>
      <w:tr w:rsidR="001C1E78" w:rsidTr="4AA702E3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AA702E3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4AA702E3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94D65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83BFCF"/>
    <w:rsid w:val="0307E90C"/>
    <w:rsid w:val="04D7730C"/>
    <w:rsid w:val="04E02E83"/>
    <w:rsid w:val="05A0F357"/>
    <w:rsid w:val="05E3340F"/>
    <w:rsid w:val="05EA7425"/>
    <w:rsid w:val="05F77624"/>
    <w:rsid w:val="07855918"/>
    <w:rsid w:val="087568C8"/>
    <w:rsid w:val="08B94C4C"/>
    <w:rsid w:val="09A5E686"/>
    <w:rsid w:val="0A113523"/>
    <w:rsid w:val="0C3BFE5C"/>
    <w:rsid w:val="0EAAEF3B"/>
    <w:rsid w:val="0F8687F7"/>
    <w:rsid w:val="0FBB36C9"/>
    <w:rsid w:val="1019A83D"/>
    <w:rsid w:val="10DEA2E6"/>
    <w:rsid w:val="116A19BF"/>
    <w:rsid w:val="13A77439"/>
    <w:rsid w:val="1510FDC5"/>
    <w:rsid w:val="1553E7CA"/>
    <w:rsid w:val="15E7AD5A"/>
    <w:rsid w:val="15ED7CE8"/>
    <w:rsid w:val="165DA9D6"/>
    <w:rsid w:val="1733802A"/>
    <w:rsid w:val="17BA5642"/>
    <w:rsid w:val="187A5162"/>
    <w:rsid w:val="18E3CD77"/>
    <w:rsid w:val="18EDEB8C"/>
    <w:rsid w:val="1A270604"/>
    <w:rsid w:val="1A3AAD0B"/>
    <w:rsid w:val="1A448937"/>
    <w:rsid w:val="1AC57B51"/>
    <w:rsid w:val="1C41467C"/>
    <w:rsid w:val="1CB7A019"/>
    <w:rsid w:val="1D4C6B3F"/>
    <w:rsid w:val="1DA0CA97"/>
    <w:rsid w:val="1DAC3172"/>
    <w:rsid w:val="1DCB5B69"/>
    <w:rsid w:val="1E089AE0"/>
    <w:rsid w:val="1E3C56CC"/>
    <w:rsid w:val="1EBE0E57"/>
    <w:rsid w:val="1F7F7BDA"/>
    <w:rsid w:val="2105273A"/>
    <w:rsid w:val="2215BF62"/>
    <w:rsid w:val="22A6B474"/>
    <w:rsid w:val="22DA997F"/>
    <w:rsid w:val="237C01E2"/>
    <w:rsid w:val="243A9CED"/>
    <w:rsid w:val="244FF5FB"/>
    <w:rsid w:val="24CD3C9F"/>
    <w:rsid w:val="24D201A4"/>
    <w:rsid w:val="24D753D0"/>
    <w:rsid w:val="261CA5EC"/>
    <w:rsid w:val="261E7005"/>
    <w:rsid w:val="26D12094"/>
    <w:rsid w:val="26D21829"/>
    <w:rsid w:val="273277BD"/>
    <w:rsid w:val="273A68C8"/>
    <w:rsid w:val="2810F82E"/>
    <w:rsid w:val="28659D4D"/>
    <w:rsid w:val="2890717F"/>
    <w:rsid w:val="28FA9F2A"/>
    <w:rsid w:val="29CBE545"/>
    <w:rsid w:val="2A090E11"/>
    <w:rsid w:val="2A4A5992"/>
    <w:rsid w:val="2A4D6DA0"/>
    <w:rsid w:val="2B9BA626"/>
    <w:rsid w:val="2C13E4EF"/>
    <w:rsid w:val="2E466C15"/>
    <w:rsid w:val="2EBBB8D3"/>
    <w:rsid w:val="2EC274AE"/>
    <w:rsid w:val="3042BD22"/>
    <w:rsid w:val="30B916C6"/>
    <w:rsid w:val="3134DFA5"/>
    <w:rsid w:val="31B7DA74"/>
    <w:rsid w:val="337789D8"/>
    <w:rsid w:val="33A06459"/>
    <w:rsid w:val="33A8B349"/>
    <w:rsid w:val="3458AE3D"/>
    <w:rsid w:val="353560B6"/>
    <w:rsid w:val="35FF29B3"/>
    <w:rsid w:val="365A1340"/>
    <w:rsid w:val="36F09832"/>
    <w:rsid w:val="37A04FE8"/>
    <w:rsid w:val="39FECC70"/>
    <w:rsid w:val="3B2F2838"/>
    <w:rsid w:val="3C104AE8"/>
    <w:rsid w:val="3C7D7EAE"/>
    <w:rsid w:val="3D19655B"/>
    <w:rsid w:val="3D639487"/>
    <w:rsid w:val="4003A573"/>
    <w:rsid w:val="419C2987"/>
    <w:rsid w:val="42025A7D"/>
    <w:rsid w:val="4252FDFD"/>
    <w:rsid w:val="42992D14"/>
    <w:rsid w:val="4473CDA5"/>
    <w:rsid w:val="4728D638"/>
    <w:rsid w:val="47661AEF"/>
    <w:rsid w:val="47AE98EF"/>
    <w:rsid w:val="48452D48"/>
    <w:rsid w:val="4946BABA"/>
    <w:rsid w:val="494FDAF5"/>
    <w:rsid w:val="4AA702E3"/>
    <w:rsid w:val="4AADEDE0"/>
    <w:rsid w:val="4B22FD6B"/>
    <w:rsid w:val="4BE31EFE"/>
    <w:rsid w:val="4C7CBA24"/>
    <w:rsid w:val="4CF9B935"/>
    <w:rsid w:val="4E7574D9"/>
    <w:rsid w:val="4E935E87"/>
    <w:rsid w:val="51D50C3B"/>
    <w:rsid w:val="56E4637A"/>
    <w:rsid w:val="57F33394"/>
    <w:rsid w:val="5820A980"/>
    <w:rsid w:val="58ADD460"/>
    <w:rsid w:val="58F5D14A"/>
    <w:rsid w:val="598FE6AC"/>
    <w:rsid w:val="59C5DEDB"/>
    <w:rsid w:val="5B3ACF84"/>
    <w:rsid w:val="5B67D144"/>
    <w:rsid w:val="5B81B6FD"/>
    <w:rsid w:val="5C93054E"/>
    <w:rsid w:val="5CB7CE79"/>
    <w:rsid w:val="5CB8EF45"/>
    <w:rsid w:val="5E3605D3"/>
    <w:rsid w:val="5EA0764E"/>
    <w:rsid w:val="606E50CC"/>
    <w:rsid w:val="60CE9B09"/>
    <w:rsid w:val="614816AC"/>
    <w:rsid w:val="614B89AD"/>
    <w:rsid w:val="621A0B1D"/>
    <w:rsid w:val="63272A61"/>
    <w:rsid w:val="63C74301"/>
    <w:rsid w:val="64079B81"/>
    <w:rsid w:val="64E94EBE"/>
    <w:rsid w:val="65B34049"/>
    <w:rsid w:val="65FEF3C8"/>
    <w:rsid w:val="66724EC8"/>
    <w:rsid w:val="667ABFA4"/>
    <w:rsid w:val="679159DB"/>
    <w:rsid w:val="67EAB4E1"/>
    <w:rsid w:val="68A40204"/>
    <w:rsid w:val="6972C07C"/>
    <w:rsid w:val="6A0770D1"/>
    <w:rsid w:val="6A395232"/>
    <w:rsid w:val="6A4780DE"/>
    <w:rsid w:val="6AA46D40"/>
    <w:rsid w:val="6B2EF0CC"/>
    <w:rsid w:val="6CEF1406"/>
    <w:rsid w:val="6D5ED480"/>
    <w:rsid w:val="6D81E89D"/>
    <w:rsid w:val="6DB57E4D"/>
    <w:rsid w:val="6F1CA420"/>
    <w:rsid w:val="6F566AFD"/>
    <w:rsid w:val="6F748C2E"/>
    <w:rsid w:val="6F825602"/>
    <w:rsid w:val="6FB58830"/>
    <w:rsid w:val="7021A1EA"/>
    <w:rsid w:val="7095EB8C"/>
    <w:rsid w:val="710EB140"/>
    <w:rsid w:val="71B90BA0"/>
    <w:rsid w:val="72BE5955"/>
    <w:rsid w:val="73428EDB"/>
    <w:rsid w:val="73613032"/>
    <w:rsid w:val="74584E3E"/>
    <w:rsid w:val="748FEEA8"/>
    <w:rsid w:val="74B1CE06"/>
    <w:rsid w:val="75E8D600"/>
    <w:rsid w:val="763C9D60"/>
    <w:rsid w:val="766B6112"/>
    <w:rsid w:val="77E7FC20"/>
    <w:rsid w:val="780F2308"/>
    <w:rsid w:val="78121860"/>
    <w:rsid w:val="78890FEA"/>
    <w:rsid w:val="78C9D66D"/>
    <w:rsid w:val="79FE28BE"/>
    <w:rsid w:val="7AF32E41"/>
    <w:rsid w:val="7B8BB23F"/>
    <w:rsid w:val="7BD96031"/>
    <w:rsid w:val="7DE4C694"/>
    <w:rsid w:val="7E814D39"/>
    <w:rsid w:val="7E939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7</revision>
  <lastPrinted>2018-04-19T15:20:00.0000000Z</lastPrinted>
  <dcterms:created xsi:type="dcterms:W3CDTF">2021-01-29T16:31:00.0000000Z</dcterms:created>
  <dcterms:modified xsi:type="dcterms:W3CDTF">2021-02-12T19:25:44.5776544Z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