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29DC5B6B">
      <w:pPr>
        <w:rPr>
          <w:sz w:val="32"/>
          <w:szCs w:val="32"/>
        </w:rPr>
      </w:pPr>
      <w:r w:rsidRPr="76E196FD" w:rsidR="001C1E78">
        <w:rPr>
          <w:sz w:val="32"/>
          <w:szCs w:val="32"/>
        </w:rPr>
        <w:t xml:space="preserve">EO </w:t>
      </w:r>
      <w:r w:rsidRPr="76E196FD" w:rsidR="2FE20F25">
        <w:rPr>
          <w:sz w:val="32"/>
          <w:szCs w:val="32"/>
        </w:rPr>
        <w:t>003</w:t>
      </w:r>
      <w:r w:rsidRPr="76E196FD" w:rsidR="001C1E78">
        <w:rPr>
          <w:sz w:val="32"/>
          <w:szCs w:val="32"/>
        </w:rPr>
        <w:t>.</w:t>
      </w:r>
      <w:r w:rsidRPr="76E196FD" w:rsidR="04125878">
        <w:rPr>
          <w:sz w:val="32"/>
          <w:szCs w:val="32"/>
        </w:rPr>
        <w:t>01</w:t>
      </w:r>
      <w:r w:rsidRPr="76E196FD" w:rsidR="001C1E78">
        <w:rPr>
          <w:sz w:val="32"/>
          <w:szCs w:val="32"/>
        </w:rPr>
        <w:t xml:space="preserve"> - </w:t>
      </w:r>
      <w:r w:rsidRPr="76E196FD" w:rsidR="3880ED94">
        <w:rPr>
          <w:sz w:val="32"/>
          <w:szCs w:val="32"/>
        </w:rPr>
        <w:t>Interpret TDL Organizations</w:t>
      </w:r>
    </w:p>
    <w:p w:rsidR="3880ED94" w:rsidP="76E196FD" w:rsidRDefault="3880ED94" w14:paraId="7B67410D" w14:textId="079BB2A7">
      <w:pPr>
        <w:pStyle w:val="Style1"/>
        <w:bidi w:val="0"/>
        <w:spacing w:before="0" w:beforeAutospacing="off" w:after="0" w:afterAutospacing="off" w:line="259" w:lineRule="auto"/>
        <w:ind w:left="0" w:right="0"/>
        <w:jc w:val="left"/>
        <w:rPr>
          <w:rFonts w:ascii="Times New Roman" w:hAnsi="Times New Roman" w:cs="Times New Roman"/>
        </w:rPr>
      </w:pPr>
      <w:r w:rsidRPr="3FA2D350" w:rsidR="3880ED94">
        <w:rPr>
          <w:rFonts w:ascii="Times New Roman" w:hAnsi="Times New Roman" w:cs="Times New Roman"/>
        </w:rPr>
        <w:t>003</w:t>
      </w:r>
      <w:r w:rsidRPr="3FA2D350" w:rsidR="001C1E78">
        <w:rPr>
          <w:rFonts w:ascii="Times New Roman" w:hAnsi="Times New Roman" w:cs="Times New Roman"/>
        </w:rPr>
        <w:t>.</w:t>
      </w:r>
      <w:r w:rsidRPr="3FA2D350" w:rsidR="0BDA68E6">
        <w:rPr>
          <w:rFonts w:ascii="Times New Roman" w:hAnsi="Times New Roman" w:cs="Times New Roman"/>
        </w:rPr>
        <w:t>01</w:t>
      </w:r>
      <w:r w:rsidRPr="3FA2D350" w:rsidR="3B2F2838">
        <w:rPr>
          <w:rFonts w:ascii="Times New Roman" w:hAnsi="Times New Roman" w:cs="Times New Roman"/>
        </w:rPr>
        <w:t>.</w:t>
      </w:r>
      <w:r w:rsidRPr="3FA2D350" w:rsidR="549FA9A5">
        <w:rPr>
          <w:rFonts w:ascii="Times New Roman" w:hAnsi="Times New Roman" w:cs="Times New Roman"/>
        </w:rPr>
        <w:t>0</w:t>
      </w:r>
      <w:r w:rsidRPr="3FA2D350" w:rsidR="548A6FFF">
        <w:rPr>
          <w:rFonts w:ascii="Times New Roman" w:hAnsi="Times New Roman" w:cs="Times New Roman"/>
        </w:rPr>
        <w:t>2</w:t>
      </w:r>
      <w:r w:rsidRPr="3FA2D350" w:rsidR="001C1E78">
        <w:rPr>
          <w:rFonts w:ascii="Times New Roman" w:hAnsi="Times New Roman" w:cs="Times New Roman"/>
        </w:rPr>
        <w:t xml:space="preserve"> - </w:t>
      </w:r>
      <w:r w:rsidRPr="3FA2D350" w:rsidR="3A17736C">
        <w:rPr>
          <w:rFonts w:ascii="Times New Roman" w:hAnsi="Times New Roman" w:cs="Times New Roman"/>
        </w:rPr>
        <w:t>Describe Environmental TDL Management Structure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1B175B1F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1B175B1F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76E196FD" w:rsidRDefault="001C1E78" w14:paraId="70F63B5A" w14:textId="10306B6E">
            <w:pPr>
              <w:rPr>
                <w:lang w:val="en-CA"/>
              </w:rPr>
            </w:pPr>
            <w:r w:rsidRPr="76E196FD" w:rsidR="2AD29DA6">
              <w:rPr>
                <w:lang w:val="en-CA"/>
              </w:rPr>
              <w:t>Classroom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76E196FD" w:rsidRDefault="001C1E78" w14:paraId="314FD918" w14:textId="439A44FE">
            <w:pPr>
              <w:rPr>
                <w:lang w:val="en-CA"/>
              </w:rPr>
            </w:pPr>
            <w:r w:rsidRPr="76E196FD" w:rsidR="2AD29DA6">
              <w:rPr>
                <w:lang w:val="en-CA"/>
              </w:rPr>
              <w:t>After 003.01.02</w:t>
            </w:r>
          </w:p>
        </w:tc>
      </w:tr>
      <w:tr w:rsidR="001C1E78" w:rsidTr="1B175B1F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1B175B1F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76E196FD" w:rsidRDefault="001C1E78" w14:paraId="03B7F4D5" w14:textId="44835721">
            <w:pPr>
              <w:rPr>
                <w:lang w:val="en-CA"/>
              </w:rPr>
            </w:pPr>
            <w:r w:rsidRPr="2A497A00" w:rsidR="07176764">
              <w:rPr>
                <w:lang w:val="en-CA"/>
              </w:rPr>
              <w:t>25</w:t>
            </w:r>
            <w:r w:rsidRPr="2A497A00" w:rsidR="2379ACD2">
              <w:rPr>
                <w:lang w:val="en-CA"/>
              </w:rPr>
              <w:t xml:space="preserve"> 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76E196FD" w:rsidRDefault="001C1E78" w14:paraId="433845DA" w14:textId="4DFCF251">
            <w:pPr>
              <w:rPr>
                <w:lang w:val="en-CA"/>
              </w:rPr>
            </w:pPr>
            <w:r w:rsidRPr="76E196FD" w:rsidR="2379ACD2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76E196FD" w:rsidRDefault="001C1E78" w14:paraId="60DC980E" w14:textId="20BF0EBF">
            <w:pPr>
              <w:rPr>
                <w:lang w:val="en-CA"/>
              </w:rPr>
            </w:pPr>
            <w:r w:rsidRPr="76E196FD" w:rsidR="2379ACD2">
              <w:rPr>
                <w:lang w:val="en-CA"/>
              </w:rPr>
              <w:t>TDL 300 Qualified Instructor or Guest Lecture SME</w:t>
            </w:r>
          </w:p>
        </w:tc>
      </w:tr>
      <w:tr w:rsidR="001C1E78" w:rsidTr="1B175B1F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1B175B1F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1B175B1F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76E196FD" w:rsidRDefault="001C1E78" w14:paraId="300F3A50" w14:textId="2BB3D97B">
            <w:pPr>
              <w:rPr>
                <w:lang w:val="en-CA"/>
              </w:rPr>
            </w:pPr>
            <w:r w:rsidRPr="76E196FD" w:rsidR="001C1E78">
              <w:rPr>
                <w:lang w:val="en-CA"/>
              </w:rPr>
              <w:t>1)</w:t>
            </w:r>
            <w:r w:rsidRPr="76E196FD" w:rsidR="2621A955">
              <w:rPr>
                <w:lang w:val="en-CA"/>
              </w:rPr>
              <w:t xml:space="preserve"> Elemental Operational Authority</w:t>
            </w:r>
            <w:r w:rsidRPr="76E196FD" w:rsidR="709FB115">
              <w:rPr>
                <w:lang w:val="en-CA"/>
              </w:rPr>
              <w:t xml:space="preserve"> and Data Link management Cells</w:t>
            </w:r>
          </w:p>
          <w:p w:rsidRPr="004178B8" w:rsidR="001C1E78" w:rsidP="76E196FD" w:rsidRDefault="001C1E78" w14:paraId="58456AA7" w14:textId="3703DD98">
            <w:pPr>
              <w:rPr>
                <w:lang w:val="en-CA"/>
              </w:rPr>
            </w:pPr>
            <w:r w:rsidRPr="76E196FD" w:rsidR="001C1E78">
              <w:rPr>
                <w:lang w:val="en-CA"/>
              </w:rPr>
              <w:t xml:space="preserve">2) </w:t>
            </w:r>
            <w:r w:rsidRPr="76E196FD" w:rsidR="01CAEB85">
              <w:rPr>
                <w:lang w:val="en-CA"/>
              </w:rPr>
              <w:t>Elemental Technical Authority</w:t>
            </w:r>
          </w:p>
          <w:p w:rsidRPr="004178B8" w:rsidR="001C1E78" w:rsidP="76E196FD" w:rsidRDefault="001C1E78" w14:paraId="533CDBF0" w14:textId="5CA0F4C0">
            <w:pPr>
              <w:rPr>
                <w:lang w:val="en-CA"/>
              </w:rPr>
            </w:pPr>
            <w:r w:rsidRPr="76E196FD" w:rsidR="01CAEB85">
              <w:rPr>
                <w:lang w:val="en-CA"/>
              </w:rPr>
              <w:t>3) Training Establishments</w:t>
            </w:r>
            <w:r w:rsidRPr="76E196FD" w:rsidR="0F75FDCA">
              <w:rPr>
                <w:lang w:val="en-CA"/>
              </w:rPr>
              <w:t xml:space="preserve"> 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76E196FD" w:rsidRDefault="001C1E78" w14:paraId="53DD33B0" w14:textId="4DAAA949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76E196FD" w:rsidR="2A94CA5D">
              <w:rPr>
                <w:lang w:val="en-CA"/>
              </w:rPr>
              <w:t>Slide Sets</w:t>
            </w:r>
          </w:p>
          <w:p w:rsidRPr="00ED7D0A" w:rsidR="001C1E78" w:rsidP="76E196FD" w:rsidRDefault="001C1E78" w14:paraId="46FE8275" w14:textId="55A1288A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76E196FD" w:rsidR="2A94CA5D">
              <w:rPr>
                <w:lang w:val="en-CA"/>
              </w:rPr>
              <w:t>Interactive Lecture</w:t>
            </w:r>
          </w:p>
          <w:p w:rsidRPr="00ED7D0A" w:rsidR="001C1E78" w:rsidP="76E196FD" w:rsidRDefault="001C1E78" w14:paraId="60CE6DF6" w14:textId="0306F157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76E196FD" w:rsidR="2A94CA5D">
              <w:rPr>
                <w:lang w:val="en-CA"/>
              </w:rPr>
              <w:t>Confirmation Questions</w:t>
            </w:r>
          </w:p>
        </w:tc>
      </w:tr>
      <w:tr w:rsidR="001C1E78" w:rsidTr="1B175B1F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1B175B1F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354E6048">
            <w:pPr>
              <w:rPr>
                <w:lang w:val="en-CA"/>
              </w:rPr>
            </w:pPr>
            <w:r w:rsidRPr="3FA2D350" w:rsidR="668A29D1">
              <w:rPr>
                <w:lang w:val="en-CA"/>
              </w:rPr>
              <w:t>Nil if required reiterate from EO 003.01.01</w:t>
            </w:r>
          </w:p>
        </w:tc>
      </w:tr>
      <w:tr w:rsidR="001C1E78" w:rsidTr="1B175B1F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438800EB" w:rsidP="3FA2D350" w:rsidRDefault="438800EB" w14:paraId="617328C0" w14:textId="4133F833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3FA2D350" w:rsidR="438800E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Introduction</w:t>
            </w:r>
            <w:r w:rsidRPr="3FA2D350" w:rsidR="438800E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– </w:t>
            </w:r>
          </w:p>
          <w:p w:rsidR="3DE9CAB7" w:rsidP="1B175B1F" w:rsidRDefault="3DE9CAB7" w14:paraId="59CCED0D" w14:textId="419645F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1B175B1F" w:rsidR="3DE9CAB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You have learned about the National TDL Governance structure in the last Lesson. Equally important </w:t>
            </w:r>
            <w:r w:rsidRPr="1B175B1F" w:rsidR="3E6DFCD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to understand </w:t>
            </w:r>
            <w:r w:rsidRPr="1B175B1F" w:rsidR="3DE9CAB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the </w:t>
            </w:r>
            <w:r w:rsidRPr="1B175B1F" w:rsidR="4F46C51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Component</w:t>
            </w:r>
            <w:r w:rsidRPr="1B175B1F" w:rsidR="3DE9CAB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TDL </w:t>
            </w:r>
            <w:r w:rsidRPr="1B175B1F" w:rsidR="465A97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Management </w:t>
            </w:r>
            <w:r w:rsidRPr="1B175B1F" w:rsidR="34CCFEB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structure so that you can </w:t>
            </w:r>
            <w:r w:rsidRPr="1B175B1F" w:rsidR="184CD3D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connect the National and Elemental relationship as it applies to TDL capabilities. </w:t>
            </w:r>
          </w:p>
          <w:p w:rsidR="1BB9F804" w:rsidP="1BB9F804" w:rsidRDefault="1BB9F804" w14:paraId="3CB3045C" w14:textId="6B543740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438800EB" w:rsidP="3FA2D350" w:rsidRDefault="438800EB" w14:paraId="46E829E2" w14:textId="3F1CF0F7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3FA2D350" w:rsidR="438800E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Activity</w:t>
            </w:r>
            <w:r w:rsidRPr="3FA2D350" w:rsidR="438800E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–</w:t>
            </w:r>
          </w:p>
          <w:p w:rsidR="438800EB" w:rsidP="597DCB37" w:rsidRDefault="438800EB" w14:paraId="7BB3E673" w14:textId="0345E69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</w:pPr>
            <w:r w:rsidRPr="597DCB37" w:rsidR="438800E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Instructor will </w:t>
            </w:r>
            <w:r w:rsidRPr="597DCB37" w:rsidR="6573E7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refer to the previously assembled “Slide Set” and </w:t>
            </w:r>
            <w:r w:rsidRPr="597DCB37" w:rsidR="438800E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facilitate a guided discussion for ONLY the </w:t>
            </w:r>
            <w:r w:rsidRPr="597DCB37" w:rsidR="05DEA41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COMPONENT</w:t>
            </w:r>
            <w:r w:rsidRPr="597DCB37" w:rsidR="438800E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 organizations to determine student knowledge level</w:t>
            </w:r>
          </w:p>
          <w:p w:rsidR="438800EB" w:rsidP="1BB9F804" w:rsidRDefault="438800EB" w14:paraId="1D5EE004" w14:textId="30C86D0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US"/>
              </w:rPr>
            </w:pPr>
            <w:r w:rsidRPr="1BB9F804" w:rsidR="438800E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Instructor will deliver Ppt presentation Describe </w:t>
            </w:r>
            <w:r w:rsidRPr="1BB9F804" w:rsidR="576081B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Environmental </w:t>
            </w:r>
            <w:r w:rsidRPr="1BB9F804" w:rsidR="438800E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TDL </w:t>
            </w:r>
            <w:r w:rsidRPr="1BB9F804" w:rsidR="7C5F4EE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management</w:t>
            </w:r>
            <w:r w:rsidRPr="1BB9F804" w:rsidR="438800E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 Structure</w:t>
            </w:r>
          </w:p>
          <w:p w:rsidR="438800EB" w:rsidP="1BB9F804" w:rsidRDefault="438800EB" w14:paraId="004106A6" w14:textId="437B76B8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US"/>
              </w:rPr>
            </w:pPr>
            <w:r w:rsidRPr="1BB9F804" w:rsidR="438800E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Trainee confirmation will be completed at the end of this lesson</w:t>
            </w:r>
          </w:p>
          <w:p w:rsidR="3FA2D350" w:rsidP="3FA2D350" w:rsidRDefault="3FA2D350" w14:paraId="591C9581" w14:textId="419AB3E0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US"/>
              </w:rPr>
            </w:pPr>
          </w:p>
          <w:p w:rsidR="438800EB" w:rsidP="3FA2D350" w:rsidRDefault="438800EB" w14:paraId="495CDD3E" w14:textId="388B2A81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3FA2D350" w:rsidR="438800E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Conclusion</w:t>
            </w:r>
            <w:r w:rsidRPr="3FA2D350" w:rsidR="438800E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–</w:t>
            </w:r>
          </w:p>
          <w:p w:rsidRPr="00E70B70" w:rsidR="001C1E78" w:rsidP="1BB9F804" w:rsidRDefault="001C1E78" w14:paraId="5619916E" w14:textId="7A759EAC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1BB9F804" w:rsidR="438800E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Instructor will complete the lesson once trainee demonstrates an understanding of the LO content based on confirmation question participation. </w:t>
            </w:r>
          </w:p>
        </w:tc>
      </w:tr>
      <w:tr w:rsidR="001C1E78" w:rsidTr="1B175B1F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1B175B1F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1B175B1F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76E196FD" w:rsidRDefault="001C1E78" w14:paraId="0EB146A4" w14:textId="2FA09C72">
            <w:pPr>
              <w:rPr>
                <w:lang w:val="en-CA"/>
              </w:rPr>
            </w:pPr>
            <w:r w:rsidRPr="597DCB37" w:rsidR="001C1E78">
              <w:rPr>
                <w:lang w:val="en-CA"/>
              </w:rPr>
              <w:t>1)</w:t>
            </w:r>
            <w:r w:rsidRPr="597DCB37" w:rsidR="41D091F5">
              <w:rPr>
                <w:lang w:val="en-CA"/>
              </w:rPr>
              <w:t xml:space="preserve"> </w:t>
            </w:r>
            <w:r w:rsidRPr="597DCB37" w:rsidR="063E0C8D">
              <w:rPr>
                <w:lang w:val="en-CA"/>
              </w:rPr>
              <w:t>Workstation and Projector</w:t>
            </w:r>
          </w:p>
          <w:p w:rsidRPr="004178B8" w:rsidR="001C1E78" w:rsidP="76E196FD" w:rsidRDefault="001C1E78" w14:paraId="1D2566D7" w14:textId="7C242D14">
            <w:pPr>
              <w:rPr>
                <w:lang w:val="en-CA"/>
              </w:rPr>
            </w:pPr>
            <w:r w:rsidRPr="76E196FD" w:rsidR="001C1E78">
              <w:rPr>
                <w:lang w:val="en-CA"/>
              </w:rPr>
              <w:t xml:space="preserve">2) </w:t>
            </w:r>
            <w:r w:rsidRPr="76E196FD" w:rsidR="54033F69">
              <w:rPr>
                <w:lang w:val="en-CA"/>
              </w:rPr>
              <w:t>Whiteboard</w:t>
            </w:r>
          </w:p>
          <w:p w:rsidRPr="004178B8" w:rsidR="001C1E78" w:rsidP="76E196FD" w:rsidRDefault="001C1E78" w14:paraId="15D5FD72" w14:textId="19D139E6">
            <w:pPr>
              <w:pStyle w:val="Normal"/>
              <w:rPr>
                <w:lang w:val="en-CA"/>
              </w:rPr>
            </w:pPr>
            <w:r w:rsidRPr="76E196FD" w:rsidR="54033F69">
              <w:rPr>
                <w:lang w:val="en-CA"/>
              </w:rPr>
              <w:t>3) Ppt Slides</w:t>
            </w:r>
          </w:p>
          <w:p w:rsidRPr="004178B8" w:rsidR="001C1E78" w:rsidP="76E196FD" w:rsidRDefault="001C1E78" w14:paraId="41EFC28B" w14:textId="5EFDD15D">
            <w:pPr>
              <w:pStyle w:val="Normal"/>
              <w:rPr>
                <w:lang w:val="en-CA"/>
              </w:rPr>
            </w:pPr>
            <w:r w:rsidRPr="76E196FD" w:rsidR="54033F69">
              <w:rPr>
                <w:lang w:val="en-CA"/>
              </w:rPr>
              <w:t xml:space="preserve">4) </w:t>
            </w:r>
            <w:r w:rsidRPr="76E196FD" w:rsidR="54033F69">
              <w:rPr>
                <w:lang w:val="en-CA"/>
              </w:rPr>
              <w:t>Confirmation</w:t>
            </w:r>
            <w:r w:rsidRPr="76E196FD" w:rsidR="54033F69">
              <w:rPr>
                <w:lang w:val="en-CA"/>
              </w:rPr>
              <w:t xml:space="preserve"> Questions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22C1E39A" w:rsidRDefault="001C1E78" w14:paraId="0F23EC72" w14:textId="178CFD29">
            <w:pPr>
              <w:pStyle w:val="Normal"/>
              <w:rPr>
                <w:lang w:val="en-CA"/>
              </w:rPr>
            </w:pPr>
            <w:r w:rsidRPr="76E196FD" w:rsidR="001C1E78">
              <w:rPr>
                <w:lang w:val="en-CA"/>
              </w:rPr>
              <w:t>1</w:t>
            </w:r>
            <w:r w:rsidRPr="76E196FD" w:rsidR="001C1E78">
              <w:rPr>
                <w:lang w:val="en-CA"/>
              </w:rPr>
              <w:t>)</w:t>
            </w:r>
            <w:r w:rsidRPr="76E196FD" w:rsidR="54D51CCD">
              <w:rPr>
                <w:lang w:val="en-CA"/>
              </w:rPr>
              <w:t xml:space="preserve"> CJOC CONOCP (DRAFT)</w:t>
            </w:r>
          </w:p>
          <w:p w:rsidRPr="004178B8" w:rsidR="001C1E78" w:rsidP="3FA2D350" w:rsidRDefault="001C1E78" w14:paraId="787EE477" w14:textId="6C427CAD">
            <w:pPr>
              <w:pStyle w:val="Normal"/>
              <w:rPr>
                <w:lang w:val="en-CA"/>
              </w:rPr>
            </w:pPr>
            <w:r w:rsidRPr="3FA2D350" w:rsidR="54D51CC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2</w:t>
            </w:r>
            <w:r w:rsidRPr="3FA2D350" w:rsidR="40708A0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) </w:t>
            </w:r>
            <w:r w:rsidRPr="3FA2D350" w:rsidR="456E22A6">
              <w:rPr>
                <w:lang w:val="en-CA"/>
              </w:rPr>
              <w:t>RCN TDL Strategy</w:t>
            </w:r>
          </w:p>
          <w:p w:rsidRPr="004178B8" w:rsidR="001C1E78" w:rsidP="76E196FD" w:rsidRDefault="001C1E78" w14:paraId="78A97F2F" w14:textId="0B24A78B">
            <w:pPr>
              <w:pStyle w:val="Normal"/>
              <w:rPr>
                <w:lang w:val="en-CA"/>
              </w:rPr>
            </w:pPr>
            <w:r w:rsidRPr="3FA2D350" w:rsidR="19AE9750">
              <w:rPr>
                <w:lang w:val="en-CA"/>
              </w:rPr>
              <w:t>3</w:t>
            </w:r>
            <w:r w:rsidRPr="3FA2D350" w:rsidR="456E22A6">
              <w:rPr>
                <w:lang w:val="en-CA"/>
              </w:rPr>
              <w:t>) RCAF</w:t>
            </w:r>
            <w:r w:rsidRPr="3FA2D350" w:rsidR="2D9D3BF6">
              <w:rPr>
                <w:lang w:val="en-CA"/>
              </w:rPr>
              <w:t xml:space="preserve"> Data Link CONEMP </w:t>
            </w:r>
            <w:proofErr w:type="spellStart"/>
            <w:r w:rsidRPr="3FA2D350" w:rsidR="2D9D3BF6">
              <w:rPr>
                <w:lang w:val="en-CA"/>
              </w:rPr>
              <w:t>ver</w:t>
            </w:r>
            <w:proofErr w:type="spellEnd"/>
            <w:r w:rsidRPr="3FA2D350" w:rsidR="2D9D3BF6">
              <w:rPr>
                <w:lang w:val="en-CA"/>
              </w:rPr>
              <w:t xml:space="preserve"> 2</w:t>
            </w:r>
          </w:p>
        </w:tc>
      </w:tr>
      <w:tr w:rsidR="001C1E78" w:rsidTr="1B175B1F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1B175B1F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1B175B1F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00FC5622" w:rsidRDefault="001C1E78" w14:paraId="6BC1E5B5" w14:textId="77777777">
            <w:pPr>
              <w:rPr>
                <w:szCs w:val="24"/>
                <w:lang w:val="en-CA"/>
              </w:rPr>
            </w:pP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1CAEB85"/>
    <w:rsid w:val="04125878"/>
    <w:rsid w:val="05DEA41A"/>
    <w:rsid w:val="063E0C8D"/>
    <w:rsid w:val="07176764"/>
    <w:rsid w:val="07855918"/>
    <w:rsid w:val="087568C8"/>
    <w:rsid w:val="08B94C4C"/>
    <w:rsid w:val="09989797"/>
    <w:rsid w:val="0BDA68E6"/>
    <w:rsid w:val="0C3BFE5C"/>
    <w:rsid w:val="0E9667E2"/>
    <w:rsid w:val="0F75FDCA"/>
    <w:rsid w:val="0F8687F7"/>
    <w:rsid w:val="0FBB36C9"/>
    <w:rsid w:val="1019A83D"/>
    <w:rsid w:val="1135DE20"/>
    <w:rsid w:val="116A19BF"/>
    <w:rsid w:val="1510FDC5"/>
    <w:rsid w:val="17BA5642"/>
    <w:rsid w:val="184CD3DA"/>
    <w:rsid w:val="187A5162"/>
    <w:rsid w:val="18EDEB8C"/>
    <w:rsid w:val="199D4010"/>
    <w:rsid w:val="19AE9750"/>
    <w:rsid w:val="1A270604"/>
    <w:rsid w:val="1A448937"/>
    <w:rsid w:val="1B175B1F"/>
    <w:rsid w:val="1BB9F804"/>
    <w:rsid w:val="1C41467C"/>
    <w:rsid w:val="1CB7A019"/>
    <w:rsid w:val="1D4C6B3F"/>
    <w:rsid w:val="1E089AE0"/>
    <w:rsid w:val="1EBE0E57"/>
    <w:rsid w:val="1F7F7BDA"/>
    <w:rsid w:val="2215BF62"/>
    <w:rsid w:val="22AFD8E8"/>
    <w:rsid w:val="22C1E39A"/>
    <w:rsid w:val="22DA997F"/>
    <w:rsid w:val="2379ACD2"/>
    <w:rsid w:val="237C01E2"/>
    <w:rsid w:val="244FF5FB"/>
    <w:rsid w:val="24D201A4"/>
    <w:rsid w:val="261CA5EC"/>
    <w:rsid w:val="261E7005"/>
    <w:rsid w:val="2621A955"/>
    <w:rsid w:val="26D12094"/>
    <w:rsid w:val="28659D4D"/>
    <w:rsid w:val="291FC309"/>
    <w:rsid w:val="2A090E11"/>
    <w:rsid w:val="2A497A00"/>
    <w:rsid w:val="2A4A5992"/>
    <w:rsid w:val="2A4D6DA0"/>
    <w:rsid w:val="2A94CA5D"/>
    <w:rsid w:val="2AD29DA6"/>
    <w:rsid w:val="2B9BA626"/>
    <w:rsid w:val="2C13E4EF"/>
    <w:rsid w:val="2D9D3BF6"/>
    <w:rsid w:val="2E466C15"/>
    <w:rsid w:val="2EC274AE"/>
    <w:rsid w:val="2FE20F25"/>
    <w:rsid w:val="30B916C6"/>
    <w:rsid w:val="337789D8"/>
    <w:rsid w:val="33A06459"/>
    <w:rsid w:val="34CCFEB6"/>
    <w:rsid w:val="365A1340"/>
    <w:rsid w:val="37A04FE8"/>
    <w:rsid w:val="3880ED94"/>
    <w:rsid w:val="3A17736C"/>
    <w:rsid w:val="3B2F2838"/>
    <w:rsid w:val="3C104AE8"/>
    <w:rsid w:val="3C26CA3E"/>
    <w:rsid w:val="3D19655B"/>
    <w:rsid w:val="3DE9CAB7"/>
    <w:rsid w:val="3E6DFCD9"/>
    <w:rsid w:val="3FA2D350"/>
    <w:rsid w:val="40708A0C"/>
    <w:rsid w:val="41D091F5"/>
    <w:rsid w:val="438800EB"/>
    <w:rsid w:val="43DD799E"/>
    <w:rsid w:val="44C94F0B"/>
    <w:rsid w:val="456E22A6"/>
    <w:rsid w:val="465A97D7"/>
    <w:rsid w:val="47661AEF"/>
    <w:rsid w:val="47AE98EF"/>
    <w:rsid w:val="4946BABA"/>
    <w:rsid w:val="494FDAF5"/>
    <w:rsid w:val="4B22FD6B"/>
    <w:rsid w:val="4C7CBA24"/>
    <w:rsid w:val="4F46C510"/>
    <w:rsid w:val="523EA4AA"/>
    <w:rsid w:val="5359FF71"/>
    <w:rsid w:val="54033F69"/>
    <w:rsid w:val="5461E44B"/>
    <w:rsid w:val="548A6FFF"/>
    <w:rsid w:val="549FA9A5"/>
    <w:rsid w:val="54D51CCD"/>
    <w:rsid w:val="562F85D3"/>
    <w:rsid w:val="576081B5"/>
    <w:rsid w:val="5820A980"/>
    <w:rsid w:val="584BF5C6"/>
    <w:rsid w:val="58ADD460"/>
    <w:rsid w:val="58F5D14A"/>
    <w:rsid w:val="597DCB37"/>
    <w:rsid w:val="59C5DEDB"/>
    <w:rsid w:val="5C93054E"/>
    <w:rsid w:val="5CB7CE79"/>
    <w:rsid w:val="5CB8EF45"/>
    <w:rsid w:val="5E3605D3"/>
    <w:rsid w:val="60CE9B09"/>
    <w:rsid w:val="63C74301"/>
    <w:rsid w:val="6573E78A"/>
    <w:rsid w:val="65B34049"/>
    <w:rsid w:val="65FEF3C8"/>
    <w:rsid w:val="668A29D1"/>
    <w:rsid w:val="681BFC8A"/>
    <w:rsid w:val="6972C07C"/>
    <w:rsid w:val="6A0770D1"/>
    <w:rsid w:val="6A83C292"/>
    <w:rsid w:val="6AA46D40"/>
    <w:rsid w:val="6B2EF0CC"/>
    <w:rsid w:val="6BC459F4"/>
    <w:rsid w:val="6C8D7D45"/>
    <w:rsid w:val="6CEF1406"/>
    <w:rsid w:val="6D223410"/>
    <w:rsid w:val="6D5ED480"/>
    <w:rsid w:val="6F748C2E"/>
    <w:rsid w:val="6FB58830"/>
    <w:rsid w:val="709FB115"/>
    <w:rsid w:val="73FEC73B"/>
    <w:rsid w:val="74584E3E"/>
    <w:rsid w:val="748FEEA8"/>
    <w:rsid w:val="74B1CE06"/>
    <w:rsid w:val="763C9D60"/>
    <w:rsid w:val="766B6112"/>
    <w:rsid w:val="769E3D79"/>
    <w:rsid w:val="76E196FD"/>
    <w:rsid w:val="78890FEA"/>
    <w:rsid w:val="78C9D66D"/>
    <w:rsid w:val="78E69C66"/>
    <w:rsid w:val="7AF32E41"/>
    <w:rsid w:val="7B71AE9C"/>
    <w:rsid w:val="7BD96031"/>
    <w:rsid w:val="7C5F4EEE"/>
    <w:rsid w:val="7CF1A2B6"/>
    <w:rsid w:val="7DE4C694"/>
    <w:rsid w:val="7E3D1C69"/>
    <w:rsid w:val="7E814D39"/>
    <w:rsid w:val="7E90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Helpard RW@ADM(IM) DJCIS@Defence O365</lastModifiedBy>
  <revision>9</revision>
  <lastPrinted>2018-04-19T15:20:00.0000000Z</lastPrinted>
  <dcterms:created xsi:type="dcterms:W3CDTF">2021-01-29T16:31:00.0000000Z</dcterms:created>
  <dcterms:modified xsi:type="dcterms:W3CDTF">2021-02-12T18:49:48.9016141Z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