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014DD4B6">
      <w:pPr>
        <w:rPr>
          <w:sz w:val="32"/>
          <w:szCs w:val="32"/>
        </w:rPr>
      </w:pPr>
      <w:r w:rsidRPr="5D240A8D" w:rsidR="001C1E78">
        <w:rPr>
          <w:sz w:val="32"/>
          <w:szCs w:val="32"/>
        </w:rPr>
        <w:t xml:space="preserve">EO </w:t>
      </w:r>
      <w:r w:rsidRPr="5D240A8D" w:rsidR="04244854">
        <w:rPr>
          <w:sz w:val="32"/>
          <w:szCs w:val="32"/>
        </w:rPr>
        <w:t>001.04</w:t>
      </w:r>
      <w:r w:rsidRPr="5D240A8D" w:rsidR="001C1E78">
        <w:rPr>
          <w:sz w:val="32"/>
          <w:szCs w:val="32"/>
        </w:rPr>
        <w:t xml:space="preserve"> </w:t>
      </w:r>
      <w:r w:rsidRPr="5D240A8D" w:rsidR="001C1E78">
        <w:rPr>
          <w:sz w:val="32"/>
          <w:szCs w:val="32"/>
        </w:rPr>
        <w:t xml:space="preserve">- </w:t>
      </w:r>
      <w:r w:rsidRPr="5D240A8D" w:rsidR="2883E123">
        <w:rPr>
          <w:sz w:val="32"/>
          <w:szCs w:val="32"/>
        </w:rPr>
        <w:t>Analyze Data Networking</w:t>
      </w:r>
    </w:p>
    <w:p w:rsidRPr="00976FCC" w:rsidR="001C1E78" w:rsidP="001C1E78" w:rsidRDefault="00A23F24" w14:paraId="7C8C15C1" w14:textId="010B683B">
      <w:pPr>
        <w:pStyle w:val="Style1"/>
        <w:rPr>
          <w:rFonts w:ascii="Times New Roman" w:hAnsi="Times New Roman" w:cs="Times New Roman"/>
        </w:rPr>
      </w:pPr>
      <w:r w:rsidRPr="29CFA19A" w:rsidR="2883E123">
        <w:rPr>
          <w:rFonts w:ascii="Times New Roman" w:hAnsi="Times New Roman" w:cs="Times New Roman"/>
        </w:rPr>
        <w:t>001.04.03</w:t>
      </w:r>
      <w:r w:rsidRPr="29CFA19A" w:rsidR="001C1E78">
        <w:rPr>
          <w:rFonts w:ascii="Times New Roman" w:hAnsi="Times New Roman" w:cs="Times New Roman"/>
        </w:rPr>
        <w:t xml:space="preserve"> - </w:t>
      </w:r>
      <w:r w:rsidRPr="29CFA19A" w:rsidR="3A7C97FB">
        <w:rPr>
          <w:rFonts w:ascii="Times New Roman" w:hAnsi="Times New Roman" w:cs="Times New Roman"/>
        </w:rPr>
        <w:t xml:space="preserve">Describe </w:t>
      </w:r>
      <w:r w:rsidRPr="29CFA19A" w:rsidR="638F5870">
        <w:rPr>
          <w:rFonts w:ascii="Times New Roman" w:hAnsi="Times New Roman" w:cs="Times New Roman"/>
        </w:rPr>
        <w:t>Networking Equipment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29CFA19A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29CFA19A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5D240A8D" w:rsidRDefault="001C1E78" w14:paraId="70F63B5A" w14:textId="1EC79616">
            <w:pPr>
              <w:rPr>
                <w:lang w:val="en-CA"/>
              </w:rPr>
            </w:pPr>
            <w:r w:rsidRPr="5D240A8D" w:rsidR="7A798C70">
              <w:rPr>
                <w:lang w:val="en-CA"/>
              </w:rPr>
              <w:t>Classroom</w:t>
            </w:r>
            <w:r w:rsidRPr="5D240A8D" w:rsidR="7A798C70">
              <w:rPr>
                <w:lang w:val="en-CA"/>
              </w:rPr>
              <w:t xml:space="preserve">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5D240A8D" w:rsidRDefault="001C1E78" w14:paraId="314FD918" w14:textId="79715550">
            <w:pPr>
              <w:rPr>
                <w:lang w:val="en-CA"/>
              </w:rPr>
            </w:pPr>
            <w:r w:rsidRPr="5D240A8D" w:rsidR="7A798C70">
              <w:rPr>
                <w:lang w:val="en-CA"/>
              </w:rPr>
              <w:t>After LO 001.04.02</w:t>
            </w:r>
          </w:p>
        </w:tc>
      </w:tr>
      <w:tr w:rsidR="001C1E78" w:rsidTr="29CFA19A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29CFA19A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5D240A8D" w:rsidRDefault="001C1E78" w14:paraId="03B7F4D5" w14:textId="790773E4">
            <w:pPr>
              <w:rPr>
                <w:lang w:val="en-CA"/>
              </w:rPr>
            </w:pPr>
            <w:r w:rsidRPr="5D240A8D" w:rsidR="42EB3921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5D240A8D" w:rsidRDefault="001C1E78" w14:paraId="433845DA" w14:textId="3AF1FB5E">
            <w:pPr>
              <w:rPr>
                <w:lang w:val="en-CA"/>
              </w:rPr>
            </w:pPr>
            <w:r w:rsidRPr="5D240A8D" w:rsidR="42EB3921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5D240A8D" w:rsidRDefault="001C1E78" w14:paraId="60DC980E" w14:textId="51C30ADD">
            <w:pPr>
              <w:rPr>
                <w:lang w:val="en-CA"/>
              </w:rPr>
            </w:pPr>
            <w:r w:rsidRPr="5D240A8D" w:rsidR="42EB3921">
              <w:rPr>
                <w:lang w:val="en-CA"/>
              </w:rPr>
              <w:t xml:space="preserve">TDL 300 </w:t>
            </w:r>
            <w:r w:rsidRPr="5D240A8D" w:rsidR="42EB3921">
              <w:rPr>
                <w:lang w:val="en-CA"/>
              </w:rPr>
              <w:t>Qualified</w:t>
            </w:r>
            <w:r w:rsidRPr="5D240A8D" w:rsidR="42EB3921">
              <w:rPr>
                <w:lang w:val="en-CA"/>
              </w:rPr>
              <w:t xml:space="preserve"> Instructor</w:t>
            </w:r>
          </w:p>
        </w:tc>
      </w:tr>
      <w:tr w:rsidR="001C1E78" w:rsidTr="29CFA19A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29CFA19A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29CFA19A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5D240A8D" w:rsidRDefault="001C1E78" w14:paraId="300F3A50" w14:textId="5D58F003">
            <w:pPr>
              <w:rPr>
                <w:lang w:val="en-CA"/>
              </w:rPr>
            </w:pPr>
            <w:r w:rsidRPr="5D240A8D" w:rsidR="001C1E78">
              <w:rPr>
                <w:lang w:val="en-CA"/>
              </w:rPr>
              <w:t>1)</w:t>
            </w:r>
            <w:r w:rsidRPr="5D240A8D" w:rsidR="641CF8AA">
              <w:rPr>
                <w:lang w:val="en-CA"/>
              </w:rPr>
              <w:t xml:space="preserve"> Routers</w:t>
            </w:r>
          </w:p>
          <w:p w:rsidRPr="004178B8" w:rsidR="001C1E78" w:rsidP="5D240A8D" w:rsidRDefault="001C1E78" w14:paraId="02C5EF7E" w14:textId="4976CC50">
            <w:pPr>
              <w:rPr>
                <w:lang w:val="en-CA"/>
              </w:rPr>
            </w:pPr>
            <w:r w:rsidRPr="5D240A8D" w:rsidR="001C1E78">
              <w:rPr>
                <w:lang w:val="en-CA"/>
              </w:rPr>
              <w:t xml:space="preserve">2) </w:t>
            </w:r>
            <w:r w:rsidRPr="5D240A8D" w:rsidR="7C3945D1">
              <w:rPr>
                <w:lang w:val="en-CA"/>
              </w:rPr>
              <w:t>Switches</w:t>
            </w:r>
          </w:p>
          <w:p w:rsidRPr="004178B8" w:rsidR="001C1E78" w:rsidP="5D240A8D" w:rsidRDefault="001C1E78" w14:paraId="2DE5F169" w14:textId="212BCEC2">
            <w:pPr>
              <w:pStyle w:val="Normal"/>
              <w:rPr>
                <w:lang w:val="en-CA"/>
              </w:rPr>
            </w:pPr>
            <w:r w:rsidRPr="5D240A8D" w:rsidR="7C3945D1">
              <w:rPr>
                <w:lang w:val="en-CA"/>
              </w:rPr>
              <w:t>3) NIC</w:t>
            </w:r>
          </w:p>
          <w:p w:rsidRPr="004178B8" w:rsidR="001C1E78" w:rsidP="5D240A8D" w:rsidRDefault="001C1E78" w14:paraId="6A2FC3F3" w14:textId="683ADB61">
            <w:pPr>
              <w:pStyle w:val="Normal"/>
              <w:rPr>
                <w:lang w:val="en-CA"/>
              </w:rPr>
            </w:pPr>
            <w:r w:rsidRPr="5D240A8D" w:rsidR="7C3945D1">
              <w:rPr>
                <w:lang w:val="en-CA"/>
              </w:rPr>
              <w:t>4) Firewalls</w:t>
            </w:r>
          </w:p>
          <w:p w:rsidRPr="004178B8" w:rsidR="001C1E78" w:rsidP="5D240A8D" w:rsidRDefault="001C1E78" w14:paraId="533CDBF0" w14:textId="5D55C5BF">
            <w:pPr>
              <w:pStyle w:val="Normal"/>
              <w:rPr>
                <w:lang w:val="en-CA"/>
              </w:rPr>
            </w:pPr>
            <w:r w:rsidRPr="5D240A8D" w:rsidR="7C3945D1">
              <w:rPr>
                <w:lang w:val="en-CA"/>
              </w:rPr>
              <w:t>5) Ethernet Cables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5D240A8D" w:rsidRDefault="001C1E78" w14:paraId="2307F786" w14:textId="440829FC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5D240A8D" w:rsidR="7C3945D1">
              <w:rPr>
                <w:lang w:val="en-CA"/>
              </w:rPr>
              <w:t>Reading Assignment</w:t>
            </w:r>
          </w:p>
          <w:p w:rsidRPr="00ED7D0A" w:rsidR="001C1E78" w:rsidP="5D240A8D" w:rsidRDefault="001C1E78" w14:paraId="1B99D26C" w14:textId="185C689F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5D240A8D" w:rsidR="7C3945D1">
              <w:rPr>
                <w:lang w:val="en-CA"/>
              </w:rPr>
              <w:t>Interactive Lecture</w:t>
            </w:r>
          </w:p>
          <w:p w:rsidRPr="00ED7D0A" w:rsidR="001C1E78" w:rsidP="5D240A8D" w:rsidRDefault="001C1E78" w14:paraId="43C2D3FF" w14:textId="3485A3C8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5D240A8D" w:rsidR="7C3945D1">
              <w:rPr>
                <w:lang w:val="en-CA"/>
              </w:rPr>
              <w:t>Confirmation Questions</w:t>
            </w:r>
          </w:p>
          <w:p w:rsidRPr="00ED7D0A" w:rsidR="001C1E78" w:rsidP="5D240A8D" w:rsidRDefault="001C1E78" w14:paraId="60CE6DF6" w14:textId="144C1E80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5D240A8D" w:rsidR="7C3945D1">
              <w:rPr>
                <w:lang w:val="en-CA"/>
              </w:rPr>
              <w:t>Best Summary</w:t>
            </w:r>
          </w:p>
        </w:tc>
      </w:tr>
      <w:tr w:rsidR="001C1E78" w:rsidTr="29CFA19A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29CFA19A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0581465C">
            <w:pPr>
              <w:rPr>
                <w:lang w:val="en-CA"/>
              </w:rPr>
            </w:pPr>
            <w:r w:rsidRPr="5D240A8D" w:rsidR="1C5B4778">
              <w:rPr>
                <w:lang w:val="en-CA"/>
              </w:rPr>
              <w:t>Nil</w:t>
            </w:r>
          </w:p>
        </w:tc>
      </w:tr>
      <w:tr w:rsidR="001C1E78" w:rsidTr="29CFA19A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Pr="00E70B70" w:rsidR="001C1E78" w:rsidP="2016247B" w:rsidRDefault="001C1E78" w14:paraId="5EBC30B5" w14:textId="7FE9C0B1">
            <w:pPr>
              <w:pStyle w:val="CommentTex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016247B" w:rsidR="6F64BF6A"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Introduction </w:t>
            </w:r>
            <w:r w:rsidRPr="2016247B" w:rsidR="6C2E4ECE"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-</w:t>
            </w:r>
          </w:p>
          <w:p w:rsidR="2016247B" w:rsidP="2016247B" w:rsidRDefault="2016247B" w14:paraId="4A1D4F68" w14:textId="20BAE997">
            <w:pPr>
              <w:pStyle w:val="CommentText"/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E70B70" w:rsidR="001C1E78" w:rsidP="2016247B" w:rsidRDefault="001C1E78" w14:paraId="52034C78" w14:textId="09389812">
            <w:pPr>
              <w:pStyle w:val="ListParagraph"/>
              <w:numPr>
                <w:ilvl w:val="0"/>
                <w:numId w:val="18"/>
              </w:numPr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This is a basic introduction of equipment that is utilized </w:t>
            </w:r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in</w:t>
            </w:r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proofErr w:type="gramStart"/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networking</w:t>
            </w:r>
            <w:proofErr w:type="gramEnd"/>
          </w:p>
          <w:p w:rsidRPr="00E70B70" w:rsidR="001C1E78" w:rsidP="5D240A8D" w:rsidRDefault="001C1E78" w14:paraId="278E08E4" w14:textId="41602A17">
            <w:pPr>
              <w:pStyle w:val="Normal"/>
              <w:ind w:left="0"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E70B70" w:rsidR="001C1E78" w:rsidP="2016247B" w:rsidRDefault="001C1E78" w14:paraId="62080B97" w14:textId="73DB58F4">
            <w:pPr>
              <w:pStyle w:val="Normal"/>
              <w:ind w:left="0"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016247B" w:rsidR="6F64BF6A"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Activity - </w:t>
            </w:r>
          </w:p>
          <w:p w:rsidR="2016247B" w:rsidP="2016247B" w:rsidRDefault="2016247B" w14:paraId="1F991131" w14:textId="4607F3F3">
            <w:pPr>
              <w:pStyle w:val="Normal"/>
              <w:ind w:left="0" w:right="0"/>
              <w:jc w:val="left"/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E70B70" w:rsidR="001C1E78" w:rsidP="2016247B" w:rsidRDefault="001C1E78" w14:paraId="34C03409" w14:textId="6567EEA1">
            <w:pPr>
              <w:pStyle w:val="ListParagraph"/>
              <w:numPr>
                <w:ilvl w:val="0"/>
                <w:numId w:val="18"/>
              </w:numPr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Students to read workbook section </w:t>
            </w:r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FF0000"/>
                <w:sz w:val="24"/>
                <w:szCs w:val="24"/>
                <w:lang w:val="en-US"/>
              </w:rPr>
              <w:t>**</w:t>
            </w:r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material for each learning objective.</w:t>
            </w:r>
          </w:p>
          <w:p w:rsidRPr="00E70B70" w:rsidR="001C1E78" w:rsidP="2016247B" w:rsidRDefault="001C1E78" w14:paraId="174BECA2" w14:textId="1E06D0B1">
            <w:pPr>
              <w:pStyle w:val="ListParagraph"/>
              <w:numPr>
                <w:ilvl w:val="0"/>
                <w:numId w:val="18"/>
              </w:numPr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Instructor will deliver an interactive lecture for LOs 1, 2, 3, </w:t>
            </w:r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4 and</w:t>
            </w:r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5 to include confirmation questions at the end to solidify the knowledge.</w:t>
            </w:r>
          </w:p>
          <w:p w:rsidRPr="00E70B70" w:rsidR="001C1E78" w:rsidP="2016247B" w:rsidRDefault="001C1E78" w14:paraId="17A4CB63" w14:textId="7B73E944">
            <w:pPr>
              <w:pStyle w:val="ListParagraph"/>
              <w:numPr>
                <w:ilvl w:val="0"/>
                <w:numId w:val="18"/>
              </w:numPr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Instructor will conduct confirmation activity using document EO 001.04.03 - </w:t>
            </w:r>
            <w:r w:rsidRPr="2016247B" w:rsidR="67B7EFF9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Networking Equipment</w:t>
            </w:r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.ppt</w:t>
            </w:r>
          </w:p>
          <w:p w:rsidRPr="00E70B70" w:rsidR="001C1E78" w:rsidP="5D240A8D" w:rsidRDefault="001C1E78" w14:paraId="0EB28BF3" w14:textId="4058CBF8">
            <w:pPr>
              <w:ind w:left="1080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D240A8D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   </w:t>
            </w:r>
          </w:p>
          <w:p w:rsidRPr="00E70B70" w:rsidR="001C1E78" w:rsidP="2016247B" w:rsidRDefault="001C1E78" w14:paraId="3846B1EF" w14:textId="1DC46E0F">
            <w:pPr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016247B" w:rsidR="6F64BF6A"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Conclusion</w:t>
            </w:r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– </w:t>
            </w:r>
          </w:p>
          <w:p w:rsidRPr="00E70B70" w:rsidR="001C1E78" w:rsidP="2016247B" w:rsidRDefault="001C1E78" w14:paraId="2A06DB42" w14:textId="78A0EB16">
            <w:pPr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E70B70" w:rsidR="001C1E78" w:rsidP="2016247B" w:rsidRDefault="001C1E78" w14:paraId="0379101A" w14:textId="4392038C">
            <w:pPr>
              <w:pStyle w:val="ListParagraph"/>
              <w:numPr>
                <w:ilvl w:val="0"/>
                <w:numId w:val="18"/>
              </w:numPr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016247B" w:rsidR="1F91E44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E</w:t>
            </w:r>
            <w:r w:rsidRPr="2016247B" w:rsidR="6F64BF6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ach student will conduct best summary activity where they will summarize their main takeaways from the lesson.</w:t>
            </w:r>
          </w:p>
          <w:p w:rsidRPr="00E70B70" w:rsidR="001C1E78" w:rsidP="5D240A8D" w:rsidRDefault="001C1E78" w14:paraId="5619916E" w14:textId="43027A58">
            <w:pPr>
              <w:pStyle w:val="Normal"/>
              <w:rPr>
                <w:lang w:val="en-CA"/>
              </w:rPr>
            </w:pPr>
          </w:p>
        </w:tc>
      </w:tr>
      <w:tr w:rsidR="001C1E78" w:rsidTr="29CFA19A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29CFA19A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29CFA19A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5D240A8D" w:rsidRDefault="001C1E78" w14:paraId="0EB146A4" w14:textId="7927EC41">
            <w:pPr>
              <w:rPr>
                <w:lang w:val="en-CA"/>
              </w:rPr>
            </w:pPr>
            <w:r w:rsidRPr="5D240A8D" w:rsidR="001C1E78">
              <w:rPr>
                <w:lang w:val="en-CA"/>
              </w:rPr>
              <w:t>1)</w:t>
            </w:r>
            <w:r w:rsidRPr="5D240A8D" w:rsidR="7D696BDF">
              <w:rPr>
                <w:lang w:val="en-CA"/>
              </w:rPr>
              <w:t xml:space="preserve"> Power Point Slides</w:t>
            </w:r>
          </w:p>
          <w:p w:rsidRPr="004178B8" w:rsidR="001C1E78" w:rsidP="5D240A8D" w:rsidRDefault="001C1E78" w14:paraId="01E1B6BD" w14:textId="6FBE926E">
            <w:pPr>
              <w:rPr>
                <w:lang w:val="en-CA"/>
              </w:rPr>
            </w:pPr>
            <w:r w:rsidRPr="5D240A8D" w:rsidR="001C1E78">
              <w:rPr>
                <w:lang w:val="en-CA"/>
              </w:rPr>
              <w:t xml:space="preserve">2) </w:t>
            </w:r>
            <w:r w:rsidRPr="5D240A8D" w:rsidR="6D5BF875">
              <w:rPr>
                <w:lang w:val="en-CA"/>
              </w:rPr>
              <w:t>TDL Workbook</w:t>
            </w:r>
          </w:p>
          <w:p w:rsidRPr="004178B8" w:rsidR="001C1E78" w:rsidP="5D240A8D" w:rsidRDefault="001C1E78" w14:paraId="6757D2B3" w14:textId="19A66DC0">
            <w:pPr>
              <w:pStyle w:val="Normal"/>
              <w:rPr>
                <w:lang w:val="en-CA"/>
              </w:rPr>
            </w:pPr>
            <w:r w:rsidRPr="5D240A8D" w:rsidR="6D5BF875">
              <w:rPr>
                <w:lang w:val="en-CA"/>
              </w:rPr>
              <w:t>3) Confirmation Questions</w:t>
            </w:r>
          </w:p>
          <w:p w:rsidRPr="004178B8" w:rsidR="001C1E78" w:rsidP="5D240A8D" w:rsidRDefault="001C1E78" w14:paraId="41EFC28B" w14:textId="4A437B47">
            <w:pPr>
              <w:pStyle w:val="Normal"/>
              <w:rPr>
                <w:lang w:val="en-CA"/>
              </w:rPr>
            </w:pPr>
            <w:r w:rsidRPr="5D240A8D" w:rsidR="6D5BF875">
              <w:rPr>
                <w:lang w:val="en-CA"/>
              </w:rPr>
              <w:t>4) TDL Tool Kit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5D240A8D" w:rsidRDefault="001C1E78" w14:paraId="2607147B" w14:textId="6241C0F3">
            <w:pPr>
              <w:rPr>
                <w:lang w:val="en-CA"/>
              </w:rPr>
            </w:pPr>
            <w:r w:rsidRPr="5D240A8D" w:rsidR="001C1E78">
              <w:rPr>
                <w:lang w:val="en-CA"/>
              </w:rPr>
              <w:t>1</w:t>
            </w:r>
            <w:r w:rsidRPr="5D240A8D" w:rsidR="001C1E78">
              <w:rPr>
                <w:lang w:val="en-CA"/>
              </w:rPr>
              <w:t>)</w:t>
            </w:r>
            <w:r w:rsidRPr="5D240A8D" w:rsidR="7290EE0F">
              <w:rPr>
                <w:lang w:val="en-CA"/>
              </w:rPr>
              <w:t xml:space="preserve"> COMPTIA A+</w:t>
            </w:r>
          </w:p>
          <w:p w:rsidRPr="004178B8" w:rsidR="001C1E78" w:rsidP="5D240A8D" w:rsidRDefault="001C1E78" w14:paraId="27B3DEE5" w14:textId="1B7B879E">
            <w:pPr>
              <w:rPr>
                <w:lang w:val="en-CA"/>
              </w:rPr>
            </w:pPr>
            <w:r w:rsidRPr="5D240A8D" w:rsidR="001C1E78">
              <w:rPr>
                <w:lang w:val="en-CA"/>
              </w:rPr>
              <w:t>2</w:t>
            </w:r>
            <w:r w:rsidRPr="5D240A8D" w:rsidR="001C1E78">
              <w:rPr>
                <w:lang w:val="en-CA"/>
              </w:rPr>
              <w:t>)</w:t>
            </w:r>
            <w:r w:rsidRPr="5D240A8D" w:rsidR="77D5B29D">
              <w:rPr>
                <w:lang w:val="en-CA"/>
              </w:rPr>
              <w:t>COMPTIA Network +</w:t>
            </w:r>
          </w:p>
          <w:p w:rsidRPr="004178B8" w:rsidR="001C1E78" w:rsidP="29CFA19A" w:rsidRDefault="001C1E78" w14:paraId="15ADA252" w14:textId="74F444EF">
            <w:pPr>
              <w:pStyle w:val="Normal"/>
              <w:rPr>
                <w:lang w:val="en-CA"/>
              </w:rPr>
            </w:pPr>
            <w:r w:rsidRPr="29CFA19A" w:rsidR="0D6182EB">
              <w:rPr>
                <w:lang w:val="en-CA"/>
              </w:rPr>
              <w:t xml:space="preserve">3) </w:t>
            </w:r>
            <w:r w:rsidRPr="29CFA19A" w:rsidR="0D6182EB">
              <w:rPr>
                <w:lang w:val="en-CA"/>
              </w:rPr>
              <w:t>Various</w:t>
            </w:r>
            <w:r w:rsidRPr="29CFA19A" w:rsidR="0D6182EB">
              <w:rPr>
                <w:lang w:val="en-CA"/>
              </w:rPr>
              <w:t xml:space="preserve"> </w:t>
            </w:r>
            <w:r w:rsidRPr="29CFA19A" w:rsidR="0D6182EB">
              <w:rPr>
                <w:lang w:val="en-CA"/>
              </w:rPr>
              <w:t>internet</w:t>
            </w:r>
            <w:r w:rsidRPr="29CFA19A" w:rsidR="0D6182EB">
              <w:rPr>
                <w:lang w:val="en-CA"/>
              </w:rPr>
              <w:t xml:space="preserve"> sources</w:t>
            </w:r>
          </w:p>
          <w:p w:rsidRPr="004178B8" w:rsidR="001C1E78" w:rsidP="5D240A8D" w:rsidRDefault="001C1E78" w14:paraId="78A97F2F" w14:textId="58B6F790">
            <w:pPr>
              <w:pStyle w:val="Normal"/>
              <w:rPr>
                <w:lang w:val="en-CA"/>
              </w:rPr>
            </w:pPr>
            <w:r w:rsidRPr="29CFA19A" w:rsidR="1775B0F8">
              <w:rPr>
                <w:lang w:val="en-CA"/>
              </w:rPr>
              <w:t>4) AIT Manual</w:t>
            </w:r>
          </w:p>
        </w:tc>
      </w:tr>
      <w:tr w:rsidR="001C1E78" w:rsidTr="29CFA19A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29CFA19A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29CFA19A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5D240A8D" w:rsidRDefault="001C1E78" w14:paraId="1A66E5F0" w14:textId="4AC9BB7F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D240A8D" w:rsidR="3EE803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Refer to AIT Manual for best practices to conduct Best Summary.</w:t>
            </w:r>
          </w:p>
          <w:p w:rsidRPr="00C21E62" w:rsidR="001C1E78" w:rsidP="5D240A8D" w:rsidRDefault="001C1E78" w14:paraId="6BC1E5B5" w14:textId="52DBF7B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D240A8D" w:rsidR="3EE803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Data Networking can be a very complex subject. Keep discussions and points to the basic level and ensure you understand the subject prior to delivering the lecture.</w:t>
            </w:r>
          </w:p>
        </w:tc>
      </w:tr>
    </w:tbl>
    <w:p w:rsidRPr="004829C5" w:rsidR="003D2FD1" w:rsidP="5D240A8D" w:rsidRDefault="003D2FD1" w14:paraId="5FA6E576" w14:noSpellErr="1" w14:textId="53A9AD51">
      <w:pPr>
        <w:pStyle w:val="Normal"/>
        <w:rPr>
          <w:lang w:val="en-CA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4244854"/>
    <w:rsid w:val="07855918"/>
    <w:rsid w:val="087568C8"/>
    <w:rsid w:val="08B94C4C"/>
    <w:rsid w:val="0C3BFE5C"/>
    <w:rsid w:val="0D6182EB"/>
    <w:rsid w:val="0F8687F7"/>
    <w:rsid w:val="0FBB36C9"/>
    <w:rsid w:val="1019A83D"/>
    <w:rsid w:val="116A19BF"/>
    <w:rsid w:val="13AB870D"/>
    <w:rsid w:val="1510FDC5"/>
    <w:rsid w:val="15370257"/>
    <w:rsid w:val="1775B0F8"/>
    <w:rsid w:val="17BA5642"/>
    <w:rsid w:val="187A5162"/>
    <w:rsid w:val="18EDEB8C"/>
    <w:rsid w:val="1A270604"/>
    <w:rsid w:val="1A448937"/>
    <w:rsid w:val="1C41467C"/>
    <w:rsid w:val="1C5B4778"/>
    <w:rsid w:val="1CB7A019"/>
    <w:rsid w:val="1D4C6B3F"/>
    <w:rsid w:val="1E089AE0"/>
    <w:rsid w:val="1EBE0E57"/>
    <w:rsid w:val="1F7F7BDA"/>
    <w:rsid w:val="1F91E448"/>
    <w:rsid w:val="2016247B"/>
    <w:rsid w:val="2215BF62"/>
    <w:rsid w:val="22DA997F"/>
    <w:rsid w:val="2300750C"/>
    <w:rsid w:val="237C01E2"/>
    <w:rsid w:val="244FF5FB"/>
    <w:rsid w:val="24D201A4"/>
    <w:rsid w:val="261CA5EC"/>
    <w:rsid w:val="261E7005"/>
    <w:rsid w:val="26D12094"/>
    <w:rsid w:val="28659D4D"/>
    <w:rsid w:val="2883E123"/>
    <w:rsid w:val="29CFA19A"/>
    <w:rsid w:val="2A090E11"/>
    <w:rsid w:val="2A4A5992"/>
    <w:rsid w:val="2A4D6DA0"/>
    <w:rsid w:val="2B9BA626"/>
    <w:rsid w:val="2C13E4EF"/>
    <w:rsid w:val="2E466C15"/>
    <w:rsid w:val="2EC274AE"/>
    <w:rsid w:val="2FC5CFB7"/>
    <w:rsid w:val="30B916C6"/>
    <w:rsid w:val="31BE9074"/>
    <w:rsid w:val="337789D8"/>
    <w:rsid w:val="33A06459"/>
    <w:rsid w:val="365A1340"/>
    <w:rsid w:val="37A04FE8"/>
    <w:rsid w:val="37E947C0"/>
    <w:rsid w:val="3A7C97FB"/>
    <w:rsid w:val="3B2F2838"/>
    <w:rsid w:val="3C104AE8"/>
    <w:rsid w:val="3D19655B"/>
    <w:rsid w:val="3EE8038F"/>
    <w:rsid w:val="42EB3921"/>
    <w:rsid w:val="47661AEF"/>
    <w:rsid w:val="47AE98EF"/>
    <w:rsid w:val="47EEF2EC"/>
    <w:rsid w:val="4946BABA"/>
    <w:rsid w:val="494FDAF5"/>
    <w:rsid w:val="4B22FD6B"/>
    <w:rsid w:val="4C7CBA24"/>
    <w:rsid w:val="5820A980"/>
    <w:rsid w:val="58ADD460"/>
    <w:rsid w:val="58F5D14A"/>
    <w:rsid w:val="59C5DEDB"/>
    <w:rsid w:val="5C93054E"/>
    <w:rsid w:val="5CB7CE79"/>
    <w:rsid w:val="5CB8EF45"/>
    <w:rsid w:val="5D240A8D"/>
    <w:rsid w:val="5E3605D3"/>
    <w:rsid w:val="5F4EF2D0"/>
    <w:rsid w:val="60CE9B09"/>
    <w:rsid w:val="638F5870"/>
    <w:rsid w:val="63C74301"/>
    <w:rsid w:val="641CF8AA"/>
    <w:rsid w:val="65B34049"/>
    <w:rsid w:val="65D1FA61"/>
    <w:rsid w:val="65FEF3C8"/>
    <w:rsid w:val="67B7EFF9"/>
    <w:rsid w:val="6972C07C"/>
    <w:rsid w:val="6A0770D1"/>
    <w:rsid w:val="6AA46D40"/>
    <w:rsid w:val="6B2EF0CC"/>
    <w:rsid w:val="6C2E4ECE"/>
    <w:rsid w:val="6CEF1406"/>
    <w:rsid w:val="6D5BF875"/>
    <w:rsid w:val="6D5ED480"/>
    <w:rsid w:val="6F64BF6A"/>
    <w:rsid w:val="6F72F884"/>
    <w:rsid w:val="6F748C2E"/>
    <w:rsid w:val="6FB58830"/>
    <w:rsid w:val="7058D98D"/>
    <w:rsid w:val="7227911B"/>
    <w:rsid w:val="7290EE0F"/>
    <w:rsid w:val="74584E3E"/>
    <w:rsid w:val="748FEEA8"/>
    <w:rsid w:val="74B1CE06"/>
    <w:rsid w:val="763C9D60"/>
    <w:rsid w:val="766B6112"/>
    <w:rsid w:val="77D5B29D"/>
    <w:rsid w:val="78890FEA"/>
    <w:rsid w:val="78C9D66D"/>
    <w:rsid w:val="7A798C70"/>
    <w:rsid w:val="7AF32E41"/>
    <w:rsid w:val="7BD96031"/>
    <w:rsid w:val="7C3945D1"/>
    <w:rsid w:val="7D696BDF"/>
    <w:rsid w:val="7DE4C694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Sheppard MS JE@MCC RJOC(A)@Defence O365</lastModifiedBy>
  <revision>5</revision>
  <lastPrinted>2018-04-19T15:20:00.0000000Z</lastPrinted>
  <dcterms:created xsi:type="dcterms:W3CDTF">2021-01-29T16:31:00.0000000Z</dcterms:created>
  <dcterms:modified xsi:type="dcterms:W3CDTF">2021-02-04T15:20:45.0348884Z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