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40A8CEE4">
      <w:pPr>
        <w:rPr>
          <w:sz w:val="32"/>
          <w:szCs w:val="32"/>
        </w:rPr>
      </w:pPr>
      <w:r w:rsidRPr="2A74D75E" w:rsidR="001C1E78">
        <w:rPr>
          <w:sz w:val="32"/>
          <w:szCs w:val="32"/>
        </w:rPr>
        <w:t xml:space="preserve">EO </w:t>
      </w:r>
      <w:r w:rsidRPr="2A74D75E" w:rsidR="559C5364">
        <w:rPr>
          <w:sz w:val="32"/>
          <w:szCs w:val="32"/>
        </w:rPr>
        <w:t>001</w:t>
      </w:r>
      <w:r w:rsidRPr="2A74D75E" w:rsidR="001C1E78">
        <w:rPr>
          <w:sz w:val="32"/>
          <w:szCs w:val="32"/>
        </w:rPr>
        <w:t>.</w:t>
      </w:r>
      <w:r w:rsidRPr="2A74D75E" w:rsidR="0E320C3B">
        <w:rPr>
          <w:sz w:val="32"/>
          <w:szCs w:val="32"/>
        </w:rPr>
        <w:t>01</w:t>
      </w:r>
      <w:r w:rsidRPr="2A74D75E" w:rsidR="001C1E78">
        <w:rPr>
          <w:sz w:val="32"/>
          <w:szCs w:val="32"/>
        </w:rPr>
        <w:t xml:space="preserve"> - </w:t>
      </w:r>
      <w:r w:rsidRPr="2A74D75E" w:rsidR="1E89C2AD">
        <w:rPr>
          <w:sz w:val="32"/>
          <w:szCs w:val="32"/>
        </w:rPr>
        <w:t>Analyze Link 11</w:t>
      </w:r>
    </w:p>
    <w:p w:rsidR="4E583430" w:rsidP="18F67DC3" w:rsidRDefault="4E583430" w14:paraId="502434A2" w14:textId="33E06F74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18F67DC3" w:rsidR="4E583430">
        <w:rPr>
          <w:rFonts w:ascii="Times New Roman" w:hAnsi="Times New Roman" w:cs="Times New Roman"/>
        </w:rPr>
        <w:t>001.01.0</w:t>
      </w:r>
      <w:r w:rsidRPr="18F67DC3" w:rsidR="6F74586A">
        <w:rPr>
          <w:rFonts w:ascii="Times New Roman" w:hAnsi="Times New Roman" w:cs="Times New Roman"/>
        </w:rPr>
        <w:t>3</w:t>
      </w:r>
      <w:r w:rsidRPr="18F67DC3" w:rsidR="001C1E78">
        <w:rPr>
          <w:rFonts w:ascii="Times New Roman" w:hAnsi="Times New Roman" w:cs="Times New Roman"/>
        </w:rPr>
        <w:t xml:space="preserve">- </w:t>
      </w:r>
      <w:r w:rsidRPr="18F67DC3" w:rsidR="4E46EDFC">
        <w:rPr>
          <w:rFonts w:ascii="Times New Roman" w:hAnsi="Times New Roman" w:cs="Times New Roman"/>
        </w:rPr>
        <w:t>I</w:t>
      </w:r>
      <w:r w:rsidRPr="18F67DC3" w:rsidR="2E0EA047">
        <w:rPr>
          <w:rFonts w:ascii="Times New Roman" w:hAnsi="Times New Roman" w:cs="Times New Roman"/>
        </w:rPr>
        <w:t xml:space="preserve">dentify </w:t>
      </w:r>
      <w:r w:rsidRPr="18F67DC3" w:rsidR="6CDDFDD3">
        <w:rPr>
          <w:rFonts w:ascii="Times New Roman" w:hAnsi="Times New Roman" w:cs="Times New Roman"/>
        </w:rPr>
        <w:t>Link 11 Equipment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D14201C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D14201C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65831BCC" w:rsidRDefault="001C1E78" w14:paraId="70F63B5A" w14:textId="4F7989B8">
            <w:pPr>
              <w:rPr>
                <w:lang w:val="en-CA"/>
              </w:rPr>
            </w:pPr>
            <w:r w:rsidRPr="65831BCC" w:rsidR="6C44BCC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18F67DC3" w:rsidRDefault="001C1E78" w14:paraId="314FD918" w14:textId="2CFA1A3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7988B384" w:rsidR="63247128">
              <w:rPr>
                <w:lang w:val="en-CA"/>
              </w:rPr>
              <w:t xml:space="preserve">After </w:t>
            </w:r>
            <w:r w:rsidRPr="7988B384" w:rsidR="0EAED9A3">
              <w:rPr>
                <w:lang w:val="en-CA"/>
              </w:rPr>
              <w:t xml:space="preserve">LO </w:t>
            </w:r>
            <w:r w:rsidRPr="7988B384" w:rsidR="63247128">
              <w:rPr>
                <w:lang w:val="en-CA"/>
              </w:rPr>
              <w:t>001.01.02</w:t>
            </w:r>
          </w:p>
        </w:tc>
      </w:tr>
      <w:tr w:rsidR="001C1E78" w:rsidTr="6D14201C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D14201C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03B7F4D5" w14:textId="50CF9AD2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433845DA" w14:textId="68803C15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65831BCC" w:rsidRDefault="001C1E78" w14:paraId="60DC980E" w14:textId="49F2D419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TDL 300 Qualified Instructor</w:t>
            </w:r>
          </w:p>
        </w:tc>
      </w:tr>
      <w:tr w:rsidR="001C1E78" w:rsidTr="6D14201C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14201C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D14201C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18F67DC3" w:rsidRDefault="001C1E78" w14:paraId="31A30169" w14:textId="0E29BE8F">
            <w:pPr>
              <w:rPr>
                <w:lang w:val="en-CA"/>
              </w:rPr>
            </w:pPr>
            <w:r w:rsidRPr="6D14201C" w:rsidR="001C1E78">
              <w:rPr>
                <w:lang w:val="en-CA"/>
              </w:rPr>
              <w:t>1)</w:t>
            </w:r>
            <w:r w:rsidRPr="6D14201C" w:rsidR="72AB5332">
              <w:rPr>
                <w:lang w:val="en-CA"/>
              </w:rPr>
              <w:t xml:space="preserve"> </w:t>
            </w:r>
            <w:r w:rsidRPr="6D14201C" w:rsidR="13B83A0B">
              <w:rPr>
                <w:lang w:val="en-CA"/>
              </w:rPr>
              <w:t>Identify Link 11 Equipment</w:t>
            </w:r>
          </w:p>
          <w:p w:rsidRPr="004178B8" w:rsidR="001C1E78" w:rsidP="6D14201C" w:rsidRDefault="001C1E78" w14:paraId="521D5647" w14:textId="079FE03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</w:pPr>
            <w:r w:rsidRPr="6D14201C" w:rsidR="687E54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  <w:t>Data Terminal Set</w:t>
            </w:r>
          </w:p>
          <w:p w:rsidRPr="004178B8" w:rsidR="001C1E78" w:rsidP="6D14201C" w:rsidRDefault="001C1E78" w14:paraId="4D60A802" w14:textId="54F6680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</w:pPr>
            <w:r w:rsidRPr="6D14201C" w:rsidR="687E54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  <w:t>DTS Remote</w:t>
            </w:r>
          </w:p>
          <w:p w:rsidRPr="004178B8" w:rsidR="001C1E78" w:rsidP="6D14201C" w:rsidRDefault="001C1E78" w14:paraId="38FB6280" w14:textId="38322CA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</w:pPr>
            <w:r w:rsidRPr="6D14201C" w:rsidR="687E54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  <w:t>KG-40 &amp; KG-40A</w:t>
            </w:r>
          </w:p>
          <w:p w:rsidRPr="004178B8" w:rsidR="001C1E78" w:rsidP="6D14201C" w:rsidRDefault="001C1E78" w14:paraId="4FC5DB09" w14:textId="38D97A2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</w:pPr>
            <w:r w:rsidRPr="6D14201C" w:rsidR="687E54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  <w:t>UHF/HF Radio</w:t>
            </w:r>
          </w:p>
          <w:p w:rsidRPr="004178B8" w:rsidR="001C1E78" w:rsidP="6D14201C" w:rsidRDefault="001C1E78" w14:paraId="03C8FD93" w14:textId="6B15CB0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</w:pPr>
            <w:r w:rsidRPr="6D14201C" w:rsidR="687E54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en-CA"/>
              </w:rPr>
              <w:t>Naval Tactical Data System Card</w:t>
            </w:r>
          </w:p>
          <w:p w:rsidRPr="004178B8" w:rsidR="001C1E78" w:rsidP="6D14201C" w:rsidRDefault="001C1E78" w14:paraId="533CDBF0" w14:textId="3FF6C5D4">
            <w:pPr>
              <w:pStyle w:val="Normal"/>
              <w:rPr>
                <w:lang w:val="en-CA"/>
              </w:rPr>
            </w:pPr>
            <w:r w:rsidRPr="6D14201C" w:rsidR="001C1E78">
              <w:rPr>
                <w:lang w:val="en-CA"/>
              </w:rPr>
              <w:t xml:space="preserve">2) </w:t>
            </w:r>
            <w:r w:rsidRPr="6D14201C" w:rsidR="05DEBBCA">
              <w:rPr>
                <w:lang w:val="en-CA"/>
              </w:rPr>
              <w:t xml:space="preserve">Map Link 11 Equpiment </w:t>
            </w:r>
            <w:r w:rsidRPr="6D14201C" w:rsidR="041439D6">
              <w:rPr>
                <w:lang w:val="en-CA"/>
              </w:rPr>
              <w:t>C</w:t>
            </w:r>
            <w:r w:rsidRPr="6D14201C" w:rsidR="05DEBBCA">
              <w:rPr>
                <w:lang w:val="en-CA"/>
              </w:rPr>
              <w:t>onnections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18F67DC3" w:rsidRDefault="001C1E78" w14:paraId="7863F709" w14:textId="75BF4DAB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8F67DC3" w:rsidR="05DEBBCA">
              <w:rPr>
                <w:lang w:val="en-CA"/>
              </w:rPr>
              <w:t>Reading Assignment</w:t>
            </w:r>
          </w:p>
          <w:p w:rsidRPr="00ED7D0A" w:rsidR="001C1E78" w:rsidP="18F67DC3" w:rsidRDefault="001C1E78" w14:paraId="5E043A53" w14:textId="5133AE3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EE450C9" w:rsidR="05DEBBCA">
              <w:rPr>
                <w:lang w:val="en-CA"/>
              </w:rPr>
              <w:t>Interactive Lecture</w:t>
            </w:r>
          </w:p>
          <w:p w:rsidRPr="00ED7D0A" w:rsidR="001C1E78" w:rsidP="18F67DC3" w:rsidRDefault="001C1E78" w14:paraId="059CC77D" w14:textId="3DEBEA94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EE450C9" w:rsidR="309C37A0">
              <w:rPr>
                <w:lang w:val="en-CA"/>
              </w:rPr>
              <w:t>Best Summary</w:t>
            </w:r>
          </w:p>
          <w:p w:rsidRPr="00ED7D0A" w:rsidR="001C1E78" w:rsidP="18F67DC3" w:rsidRDefault="001C1E78" w14:paraId="13B272F8" w14:textId="1652501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EE450C9" w:rsidR="5674E78A">
              <w:rPr>
                <w:lang w:val="en-CA"/>
              </w:rPr>
              <w:t>Slide Sets</w:t>
            </w:r>
          </w:p>
          <w:p w:rsidRPr="00ED7D0A" w:rsidR="001C1E78" w:rsidP="18F67DC3" w:rsidRDefault="001C1E78" w14:paraId="60CE6DF6" w14:textId="5022163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1EE450C9" w:rsidR="08958CB8">
              <w:rPr>
                <w:lang w:val="en-CA"/>
              </w:rPr>
              <w:t>Guided Discussion</w:t>
            </w:r>
          </w:p>
        </w:tc>
      </w:tr>
      <w:tr w:rsidR="001C1E78" w:rsidTr="6D14201C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D14201C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45208FEA">
            <w:pPr>
              <w:rPr>
                <w:lang w:val="en-CA"/>
              </w:rPr>
            </w:pPr>
            <w:r w:rsidRPr="18F67DC3" w:rsidR="1126828A">
              <w:rPr>
                <w:lang w:val="en-CA"/>
              </w:rPr>
              <w:t>Nil</w:t>
            </w:r>
          </w:p>
        </w:tc>
      </w:tr>
      <w:tr w:rsidR="001C1E78" w:rsidTr="6D14201C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6F85631F" w:rsidP="005C76C1" w:rsidRDefault="6F85631F" w14:paraId="13BE8A4C" w14:textId="3582408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05C76C1" w:rsidR="6F85631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005C76C1" w:rsidR="6F85631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- </w:t>
            </w:r>
          </w:p>
          <w:p w:rsidR="50CF955D" w:rsidP="005C76C1" w:rsidRDefault="50CF955D" w14:paraId="518DFB43" w14:textId="299BD75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0CF955D" w:rsidP="260B0A8D" w:rsidRDefault="50CF955D" w14:paraId="5B9E3AD0" w14:textId="563ADAF5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60B0A8D" w:rsidR="4A1AB71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review Link 11 Radiation Characteristics to confirm learning of the prior LO.</w:t>
            </w:r>
          </w:p>
          <w:p w:rsidR="005C76C1" w:rsidP="005C76C1" w:rsidRDefault="005C76C1" w14:paraId="5B8CC539" w14:textId="2065D0B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F85631F" w:rsidP="50CF955D" w:rsidRDefault="6F85631F" w14:paraId="01CA74BD" w14:textId="6C7B720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0CF955D" w:rsidR="6F85631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 -</w:t>
            </w:r>
          </w:p>
          <w:p w:rsidR="60EB4298" w:rsidP="005C76C1" w:rsidRDefault="60EB4298" w14:paraId="2B072058" w14:textId="2D89F2F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AA762E7" w:rsidP="1EE450C9" w:rsidRDefault="0AA762E7" w14:paraId="5FEE2E9E" w14:textId="346C82D7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E450C9" w:rsidR="0AA762E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</w:t>
            </w:r>
            <w:r w:rsidRPr="1EE450C9" w:rsidR="3237C6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nstructor will point out the re</w:t>
            </w:r>
            <w:r w:rsidRPr="1EE450C9" w:rsidR="0A3C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lated</w:t>
            </w:r>
            <w:r w:rsidRPr="1EE450C9" w:rsidR="3237C6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content in the Link 11 chapter of the TDL 200 Workbook.</w:t>
            </w:r>
          </w:p>
          <w:p w:rsidR="3237C697" w:rsidP="1EE450C9" w:rsidRDefault="3237C697" w14:paraId="21D47820" w14:textId="7CEA602B">
            <w:pPr>
              <w:pStyle w:val="ListParagraph"/>
              <w:numPr>
                <w:ilvl w:val="0"/>
                <w:numId w:val="17"/>
              </w:numPr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E450C9" w:rsidR="3237C6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host a g</w:t>
            </w:r>
            <w:r w:rsidRPr="1EE450C9" w:rsidR="142CA8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uided</w:t>
            </w:r>
            <w:r w:rsidRPr="1EE450C9" w:rsidR="3237C6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discussion with the trainees exploring the equipment available and </w:t>
            </w:r>
            <w:r w:rsidRPr="1EE450C9" w:rsidR="1C55C0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utilized</w:t>
            </w:r>
            <w:r w:rsidRPr="1EE450C9" w:rsidR="3237C6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in th</w:t>
            </w:r>
            <w:r w:rsidRPr="1EE450C9" w:rsidR="6895DE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eir experiences.</w:t>
            </w:r>
            <w:r w:rsidRPr="1EE450C9" w:rsidR="080EDA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The intent of the guided discussion is for trainees to explore the different configurations employed in Link 11 equipment, as well</w:t>
            </w:r>
            <w:r w:rsidRPr="1EE450C9" w:rsidR="0AE42A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frame the context of the interactive lecture.</w:t>
            </w:r>
          </w:p>
          <w:p w:rsidR="6895DECD" w:rsidP="1EE450C9" w:rsidRDefault="6895DECD" w14:paraId="3B2E3596" w14:textId="6CCD7062">
            <w:pPr>
              <w:pStyle w:val="ListParagraph"/>
              <w:numPr>
                <w:ilvl w:val="0"/>
                <w:numId w:val="17"/>
              </w:numPr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E450C9" w:rsidR="6895DE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deliver an interactive lecture using the PowerPoint slide deck</w:t>
            </w:r>
          </w:p>
          <w:p w:rsidR="4E92F45B" w:rsidP="4E92F45B" w:rsidRDefault="4E92F45B" w14:paraId="6B694666" w14:textId="6B4BA8E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18F67DC3" w:rsidRDefault="001C1E78" w14:paraId="3E26F085" w14:textId="7BF5D412">
            <w:pPr>
              <w:pStyle w:val="Normal"/>
              <w:rPr>
                <w:lang w:val="en-CA"/>
              </w:rPr>
            </w:pPr>
            <w:r w:rsidRPr="005C76C1" w:rsidR="79596625">
              <w:rPr>
                <w:b w:val="1"/>
                <w:bCs w:val="1"/>
                <w:lang w:val="en-CA"/>
              </w:rPr>
              <w:t>Conclusion -</w:t>
            </w:r>
            <w:r w:rsidRPr="005C76C1" w:rsidR="79596625">
              <w:rPr>
                <w:lang w:val="en-CA"/>
              </w:rPr>
              <w:t xml:space="preserve"> </w:t>
            </w:r>
          </w:p>
          <w:p w:rsidR="001C1E78" w:rsidP="005C76C1" w:rsidRDefault="001C1E78" w14:paraId="7484D411" w14:textId="0E0EDF09">
            <w:pPr>
              <w:pStyle w:val="Normal"/>
              <w:rPr>
                <w:lang w:val="en-CA"/>
              </w:rPr>
            </w:pPr>
          </w:p>
          <w:p w:rsidR="001C1E78" w:rsidP="1EE450C9" w:rsidRDefault="001C1E78" w14:paraId="71FB751B" w14:textId="73DB024C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EE450C9" w:rsidR="2FB5C0C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confirm learning with </w:t>
            </w:r>
            <w:r w:rsidRPr="1EE450C9" w:rsidR="6167A5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 slide sets activity.</w:t>
            </w:r>
            <w:r w:rsidRPr="1EE450C9" w:rsidR="76EE5F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The slides will represent each Link 11 component, and the trainees will create the correct configuration. The slide sets will also introduce simple troubleshooting in Link 11.</w:t>
            </w:r>
          </w:p>
          <w:p w:rsidRPr="00E70B70" w:rsidR="001C1E78" w:rsidP="571B9948" w:rsidRDefault="001C1E78" w14:paraId="5619916E" w14:textId="00B6DDA9">
            <w:pPr>
              <w:pStyle w:val="Normal"/>
              <w:rPr>
                <w:lang w:val="en-CA"/>
              </w:rPr>
            </w:pPr>
          </w:p>
        </w:tc>
      </w:tr>
      <w:tr w:rsidR="001C1E78" w:rsidTr="6D14201C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14201C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D14201C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18F67DC3" w:rsidRDefault="001C1E78" w14:paraId="5995A12A" w14:textId="3BDE7EEE">
            <w:pPr>
              <w:rPr>
                <w:lang w:val="en-CA"/>
              </w:rPr>
            </w:pPr>
            <w:r w:rsidRPr="18F67DC3" w:rsidR="001C1E78">
              <w:rPr>
                <w:lang w:val="en-CA"/>
              </w:rPr>
              <w:t>1)</w:t>
            </w:r>
            <w:r w:rsidRPr="18F67DC3" w:rsidR="70CA5DE6">
              <w:rPr>
                <w:lang w:val="en-CA"/>
              </w:rPr>
              <w:t xml:space="preserve"> </w:t>
            </w:r>
            <w:r w:rsidRPr="18F67DC3" w:rsidR="5E9F9DD0">
              <w:rPr>
                <w:lang w:val="en-CA"/>
              </w:rPr>
              <w:t>PowerPoint</w:t>
            </w:r>
            <w:r w:rsidRPr="18F67DC3" w:rsidR="70CA5DE6">
              <w:rPr>
                <w:lang w:val="en-CA"/>
              </w:rPr>
              <w:t xml:space="preserve"> Slide</w:t>
            </w:r>
            <w:r w:rsidRPr="18F67DC3" w:rsidR="674F48FD">
              <w:rPr>
                <w:lang w:val="en-CA"/>
              </w:rPr>
              <w:t>s</w:t>
            </w:r>
          </w:p>
          <w:p w:rsidRPr="004178B8" w:rsidR="001C1E78" w:rsidP="18F67DC3" w:rsidRDefault="001C1E78" w14:paraId="4CA30752" w14:textId="52DB03D2">
            <w:pPr>
              <w:rPr>
                <w:lang w:val="en-CA"/>
              </w:rPr>
            </w:pPr>
            <w:r w:rsidRPr="18F67DC3" w:rsidR="001C1E78">
              <w:rPr>
                <w:lang w:val="en-CA"/>
              </w:rPr>
              <w:t xml:space="preserve">2) </w:t>
            </w:r>
            <w:r w:rsidRPr="18F67DC3" w:rsidR="6F2BB359">
              <w:rPr>
                <w:lang w:val="en-CA"/>
              </w:rPr>
              <w:t>TDL Workbook</w:t>
            </w:r>
          </w:p>
          <w:p w:rsidRPr="004178B8" w:rsidR="001C1E78" w:rsidP="18F67DC3" w:rsidRDefault="001C1E78" w14:paraId="1E8A77BE" w14:textId="5459B892">
            <w:pPr>
              <w:pStyle w:val="Normal"/>
              <w:rPr>
                <w:lang w:val="en-CA"/>
              </w:rPr>
            </w:pPr>
            <w:r w:rsidRPr="1EE450C9" w:rsidR="6F2BB359">
              <w:rPr>
                <w:lang w:val="en-CA"/>
              </w:rPr>
              <w:t xml:space="preserve">3) </w:t>
            </w:r>
            <w:r w:rsidRPr="1EE450C9" w:rsidR="0841AA98">
              <w:rPr>
                <w:lang w:val="en-CA"/>
              </w:rPr>
              <w:t>Slide Sets</w:t>
            </w:r>
          </w:p>
          <w:p w:rsidRPr="004178B8" w:rsidR="001C1E78" w:rsidP="18F67DC3" w:rsidRDefault="001C1E78" w14:paraId="41EFC28B" w14:textId="533B7C6A">
            <w:pPr>
              <w:pStyle w:val="Normal"/>
              <w:rPr>
                <w:lang w:val="en-CA"/>
              </w:rPr>
            </w:pP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18F67DC3" w:rsidRDefault="001C1E78" w14:paraId="65D7385D" w14:textId="27D20E24">
            <w:pPr>
              <w:rPr>
                <w:lang w:val="en-CA"/>
              </w:rPr>
            </w:pPr>
            <w:r w:rsidRPr="18F67DC3" w:rsidR="001C1E78">
              <w:rPr>
                <w:lang w:val="en-CA"/>
              </w:rPr>
              <w:t>1</w:t>
            </w:r>
            <w:r w:rsidRPr="18F67DC3" w:rsidR="001C1E78">
              <w:rPr>
                <w:lang w:val="en-CA"/>
              </w:rPr>
              <w:t>)</w:t>
            </w:r>
            <w:r w:rsidRPr="18F67DC3" w:rsidR="2B289C08">
              <w:rPr>
                <w:lang w:val="en-CA"/>
              </w:rPr>
              <w:t xml:space="preserve"> MIL-STD 3011</w:t>
            </w:r>
          </w:p>
          <w:p w:rsidRPr="004178B8" w:rsidR="001C1E78" w:rsidP="18F67DC3" w:rsidRDefault="001C1E78" w14:paraId="0A08C53B" w14:textId="2F1A5F97">
            <w:pPr>
              <w:rPr>
                <w:lang w:val="en-CA"/>
              </w:rPr>
            </w:pPr>
            <w:r w:rsidRPr="18F67DC3" w:rsidR="001C1E78">
              <w:rPr>
                <w:lang w:val="en-CA"/>
              </w:rPr>
              <w:t>2</w:t>
            </w:r>
            <w:r w:rsidRPr="18F67DC3" w:rsidR="001C1E78">
              <w:rPr>
                <w:lang w:val="en-CA"/>
              </w:rPr>
              <w:t>)</w:t>
            </w:r>
            <w:r w:rsidRPr="18F67DC3" w:rsidR="030D2132">
              <w:rPr>
                <w:lang w:val="en-CA"/>
              </w:rPr>
              <w:t xml:space="preserve"> STANAG 5511</w:t>
            </w:r>
          </w:p>
          <w:p w:rsidRPr="004178B8" w:rsidR="001C1E78" w:rsidP="18F67DC3" w:rsidRDefault="001C1E78" w14:paraId="106A7A35" w14:textId="423BA7EE">
            <w:pPr>
              <w:pStyle w:val="Normal"/>
              <w:rPr>
                <w:lang w:val="en-CA"/>
              </w:rPr>
            </w:pPr>
            <w:r w:rsidRPr="18F67DC3" w:rsidR="030D2132">
              <w:rPr>
                <w:lang w:val="en-CA"/>
              </w:rPr>
              <w:t>3) Understanding Link 11</w:t>
            </w:r>
          </w:p>
          <w:p w:rsidRPr="004178B8" w:rsidR="001C1E78" w:rsidP="18F67DC3" w:rsidRDefault="001C1E78" w14:paraId="6FA0D467" w14:textId="5FEC7D83">
            <w:pPr>
              <w:pStyle w:val="Normal"/>
              <w:rPr>
                <w:lang w:val="en-CA"/>
              </w:rPr>
            </w:pPr>
            <w:r w:rsidRPr="18F67DC3" w:rsidR="42F7329B">
              <w:rPr>
                <w:lang w:val="en-CA"/>
              </w:rPr>
              <w:t>4) Understanding Voice and Datalink Networking</w:t>
            </w:r>
          </w:p>
          <w:p w:rsidRPr="004178B8" w:rsidR="001C1E78" w:rsidP="18F67DC3" w:rsidRDefault="001C1E78" w14:paraId="78A97F2F" w14:textId="0002ED61">
            <w:pPr>
              <w:pStyle w:val="Normal"/>
              <w:rPr>
                <w:lang w:val="en-CA"/>
              </w:rPr>
            </w:pPr>
          </w:p>
        </w:tc>
      </w:tr>
      <w:tr w:rsidR="001C1E78" w:rsidTr="6D14201C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D14201C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D14201C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18F67DC3" w:rsidRDefault="001C1E78" w14:paraId="7DB91A4D" w14:textId="6524FA8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8F67DC3" w:rsidR="7FDB38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how to conduct a best summary.</w:t>
            </w:r>
          </w:p>
          <w:p w:rsidRPr="00C21E62" w:rsidR="001C1E78" w:rsidP="4E92F45B" w:rsidRDefault="001C1E78" w14:paraId="509C870D" w14:textId="3810835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E92F45B" w:rsidR="7FDB38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purpose of the practical exercise is to get the students to understand the relationships of the equipment making up Link 11, and to see the effect if one fails.</w:t>
            </w:r>
          </w:p>
          <w:p w:rsidRPr="00C21E62" w:rsidR="001C1E78" w:rsidP="18F67DC3" w:rsidRDefault="001C1E78" w14:paraId="6BC1E5B5" w14:textId="0B6C49EB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C76C1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6A1495"/>
    <w:rsid w:val="01A87F33"/>
    <w:rsid w:val="026A6017"/>
    <w:rsid w:val="030D2132"/>
    <w:rsid w:val="03A4D650"/>
    <w:rsid w:val="041439D6"/>
    <w:rsid w:val="05DEBBCA"/>
    <w:rsid w:val="063D85B8"/>
    <w:rsid w:val="07855918"/>
    <w:rsid w:val="080EDAC7"/>
    <w:rsid w:val="0841AA98"/>
    <w:rsid w:val="087568C8"/>
    <w:rsid w:val="088EF67D"/>
    <w:rsid w:val="08958CB8"/>
    <w:rsid w:val="08B94C4C"/>
    <w:rsid w:val="0A0E0C27"/>
    <w:rsid w:val="0A3C90F2"/>
    <w:rsid w:val="0AA762E7"/>
    <w:rsid w:val="0AE42A09"/>
    <w:rsid w:val="0C3BFE5C"/>
    <w:rsid w:val="0CACC73C"/>
    <w:rsid w:val="0CBB4B36"/>
    <w:rsid w:val="0E320C3B"/>
    <w:rsid w:val="0E48979D"/>
    <w:rsid w:val="0EA587F9"/>
    <w:rsid w:val="0EAED9A3"/>
    <w:rsid w:val="0F8687F7"/>
    <w:rsid w:val="0FBB36C9"/>
    <w:rsid w:val="0FE2CDD3"/>
    <w:rsid w:val="1019A83D"/>
    <w:rsid w:val="1126828A"/>
    <w:rsid w:val="116A19BF"/>
    <w:rsid w:val="11C205C2"/>
    <w:rsid w:val="11D49E24"/>
    <w:rsid w:val="1220ADB4"/>
    <w:rsid w:val="12D62537"/>
    <w:rsid w:val="13B83A0B"/>
    <w:rsid w:val="142CA82C"/>
    <w:rsid w:val="1510FDC5"/>
    <w:rsid w:val="17BA5642"/>
    <w:rsid w:val="187A5162"/>
    <w:rsid w:val="18EDEB8C"/>
    <w:rsid w:val="18F67DC3"/>
    <w:rsid w:val="19312F4E"/>
    <w:rsid w:val="1A270604"/>
    <w:rsid w:val="1A448937"/>
    <w:rsid w:val="1B71057F"/>
    <w:rsid w:val="1C41467C"/>
    <w:rsid w:val="1C55C00B"/>
    <w:rsid w:val="1CB7A019"/>
    <w:rsid w:val="1D4C6B3F"/>
    <w:rsid w:val="1E089AE0"/>
    <w:rsid w:val="1E89C2AD"/>
    <w:rsid w:val="1EBE0E57"/>
    <w:rsid w:val="1EE450C9"/>
    <w:rsid w:val="1F7F7BDA"/>
    <w:rsid w:val="2215BF62"/>
    <w:rsid w:val="22DA997F"/>
    <w:rsid w:val="237C01E2"/>
    <w:rsid w:val="23B4F47B"/>
    <w:rsid w:val="23E400FB"/>
    <w:rsid w:val="23E67966"/>
    <w:rsid w:val="244FF5FB"/>
    <w:rsid w:val="24D201A4"/>
    <w:rsid w:val="260B0A8D"/>
    <w:rsid w:val="261CA5EC"/>
    <w:rsid w:val="261E7005"/>
    <w:rsid w:val="26D12094"/>
    <w:rsid w:val="28659D4D"/>
    <w:rsid w:val="28E03843"/>
    <w:rsid w:val="2A090E11"/>
    <w:rsid w:val="2A4A5992"/>
    <w:rsid w:val="2A4D6DA0"/>
    <w:rsid w:val="2A74D75E"/>
    <w:rsid w:val="2B155C23"/>
    <w:rsid w:val="2B289C08"/>
    <w:rsid w:val="2B9BA626"/>
    <w:rsid w:val="2C13E4EF"/>
    <w:rsid w:val="2D68D89D"/>
    <w:rsid w:val="2DBB96EC"/>
    <w:rsid w:val="2E0EA047"/>
    <w:rsid w:val="2E466C15"/>
    <w:rsid w:val="2EC274AE"/>
    <w:rsid w:val="2FB5C0C1"/>
    <w:rsid w:val="309C37A0"/>
    <w:rsid w:val="30B916C6"/>
    <w:rsid w:val="30C9D862"/>
    <w:rsid w:val="315BCF05"/>
    <w:rsid w:val="31884D55"/>
    <w:rsid w:val="3237C697"/>
    <w:rsid w:val="327DCADA"/>
    <w:rsid w:val="337789D8"/>
    <w:rsid w:val="33A06459"/>
    <w:rsid w:val="35AD8074"/>
    <w:rsid w:val="3642961B"/>
    <w:rsid w:val="364450AD"/>
    <w:rsid w:val="365A1340"/>
    <w:rsid w:val="367E9BE2"/>
    <w:rsid w:val="37A04FE8"/>
    <w:rsid w:val="3B2F2838"/>
    <w:rsid w:val="3C104AE8"/>
    <w:rsid w:val="3C93755B"/>
    <w:rsid w:val="3D19655B"/>
    <w:rsid w:val="3DF34855"/>
    <w:rsid w:val="42EB8BC8"/>
    <w:rsid w:val="42F7329B"/>
    <w:rsid w:val="4427D3DD"/>
    <w:rsid w:val="44D929FE"/>
    <w:rsid w:val="45B0AC77"/>
    <w:rsid w:val="4731BAAC"/>
    <w:rsid w:val="47661AEF"/>
    <w:rsid w:val="47AE98EF"/>
    <w:rsid w:val="47B7B2B3"/>
    <w:rsid w:val="4946BABA"/>
    <w:rsid w:val="494FDAF5"/>
    <w:rsid w:val="49E90379"/>
    <w:rsid w:val="49F54FD4"/>
    <w:rsid w:val="4A1AB71E"/>
    <w:rsid w:val="4AE32EA3"/>
    <w:rsid w:val="4B22FD6B"/>
    <w:rsid w:val="4C1FEDFB"/>
    <w:rsid w:val="4C7CBA24"/>
    <w:rsid w:val="4D236B38"/>
    <w:rsid w:val="4E46EDFC"/>
    <w:rsid w:val="4E583430"/>
    <w:rsid w:val="4E92F45B"/>
    <w:rsid w:val="505E4977"/>
    <w:rsid w:val="50CF955D"/>
    <w:rsid w:val="5481BFA6"/>
    <w:rsid w:val="559C5364"/>
    <w:rsid w:val="5674E78A"/>
    <w:rsid w:val="56BA9334"/>
    <w:rsid w:val="571B9948"/>
    <w:rsid w:val="57A82591"/>
    <w:rsid w:val="5820A980"/>
    <w:rsid w:val="58ADD460"/>
    <w:rsid w:val="58F5D14A"/>
    <w:rsid w:val="59929FD4"/>
    <w:rsid w:val="59C5DEDB"/>
    <w:rsid w:val="5C256108"/>
    <w:rsid w:val="5C93054E"/>
    <w:rsid w:val="5CB7CE79"/>
    <w:rsid w:val="5CB8EF45"/>
    <w:rsid w:val="5DB443A0"/>
    <w:rsid w:val="5E3605D3"/>
    <w:rsid w:val="5E9F9DD0"/>
    <w:rsid w:val="5EF8A720"/>
    <w:rsid w:val="6063326A"/>
    <w:rsid w:val="60CE9B09"/>
    <w:rsid w:val="60EB4298"/>
    <w:rsid w:val="611BF476"/>
    <w:rsid w:val="6167A50E"/>
    <w:rsid w:val="6295D304"/>
    <w:rsid w:val="63247128"/>
    <w:rsid w:val="6392E5A6"/>
    <w:rsid w:val="63ADAE90"/>
    <w:rsid w:val="63C74301"/>
    <w:rsid w:val="642CE26D"/>
    <w:rsid w:val="65831BCC"/>
    <w:rsid w:val="65B34049"/>
    <w:rsid w:val="65FEF3C8"/>
    <w:rsid w:val="674F48FD"/>
    <w:rsid w:val="68193F1B"/>
    <w:rsid w:val="687E547D"/>
    <w:rsid w:val="6895DECD"/>
    <w:rsid w:val="6972C07C"/>
    <w:rsid w:val="6A0770D1"/>
    <w:rsid w:val="6AA46D40"/>
    <w:rsid w:val="6B2EF0CC"/>
    <w:rsid w:val="6B90BC0A"/>
    <w:rsid w:val="6C44BCCE"/>
    <w:rsid w:val="6CDDFDD3"/>
    <w:rsid w:val="6CEF1406"/>
    <w:rsid w:val="6D14201C"/>
    <w:rsid w:val="6D5ED480"/>
    <w:rsid w:val="6E46F1A7"/>
    <w:rsid w:val="6EDD85D3"/>
    <w:rsid w:val="6F2BB359"/>
    <w:rsid w:val="6F74586A"/>
    <w:rsid w:val="6F748C2E"/>
    <w:rsid w:val="6F85631F"/>
    <w:rsid w:val="6FB58830"/>
    <w:rsid w:val="6FD148C6"/>
    <w:rsid w:val="70CA5DE6"/>
    <w:rsid w:val="72AB5332"/>
    <w:rsid w:val="74068276"/>
    <w:rsid w:val="74584E3E"/>
    <w:rsid w:val="748FEEA8"/>
    <w:rsid w:val="74B1CE06"/>
    <w:rsid w:val="754215E7"/>
    <w:rsid w:val="763C9D60"/>
    <w:rsid w:val="766B6112"/>
    <w:rsid w:val="76EE5FF1"/>
    <w:rsid w:val="77CF9659"/>
    <w:rsid w:val="78890FEA"/>
    <w:rsid w:val="78C9D66D"/>
    <w:rsid w:val="79596625"/>
    <w:rsid w:val="7988B384"/>
    <w:rsid w:val="79E0C263"/>
    <w:rsid w:val="7AF32E41"/>
    <w:rsid w:val="7B7C92C4"/>
    <w:rsid w:val="7BD96031"/>
    <w:rsid w:val="7BE6A87D"/>
    <w:rsid w:val="7D8278DE"/>
    <w:rsid w:val="7DE4C694"/>
    <w:rsid w:val="7E3273D2"/>
    <w:rsid w:val="7E814D39"/>
    <w:rsid w:val="7FDB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 O365</lastModifiedBy>
  <revision>14</revision>
  <lastPrinted>2018-04-19T15:20:00.0000000Z</lastPrinted>
  <dcterms:created xsi:type="dcterms:W3CDTF">2021-01-29T16:31:00.0000000Z</dcterms:created>
  <dcterms:modified xsi:type="dcterms:W3CDTF">2021-02-12T14:29:09.4693294Z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