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42F61C4">
      <w:pPr>
        <w:rPr>
          <w:sz w:val="32"/>
          <w:szCs w:val="32"/>
        </w:rPr>
      </w:pPr>
      <w:r w:rsidRPr="7576BCAF" w:rsidR="001C1E78">
        <w:rPr>
          <w:sz w:val="32"/>
          <w:szCs w:val="32"/>
        </w:rPr>
        <w:t xml:space="preserve">EO </w:t>
      </w:r>
      <w:r w:rsidRPr="7576BCAF" w:rsidR="154AA76F">
        <w:rPr>
          <w:sz w:val="32"/>
          <w:szCs w:val="32"/>
        </w:rPr>
        <w:t>003</w:t>
      </w:r>
      <w:r w:rsidRPr="7576BCAF" w:rsidR="001C1E78">
        <w:rPr>
          <w:sz w:val="32"/>
          <w:szCs w:val="32"/>
        </w:rPr>
        <w:t>.</w:t>
      </w:r>
      <w:r w:rsidRPr="7576BCAF" w:rsidR="5383B56D">
        <w:rPr>
          <w:sz w:val="32"/>
          <w:szCs w:val="32"/>
        </w:rPr>
        <w:t>01</w:t>
      </w:r>
      <w:r w:rsidRPr="7576BCAF" w:rsidR="001C1E78">
        <w:rPr>
          <w:sz w:val="32"/>
          <w:szCs w:val="32"/>
        </w:rPr>
        <w:t xml:space="preserve"> - </w:t>
      </w:r>
      <w:r w:rsidRPr="7576BCAF" w:rsidR="0742DBB6">
        <w:rPr>
          <w:sz w:val="32"/>
          <w:szCs w:val="32"/>
        </w:rPr>
        <w:t>Interpret TDL Organizations</w:t>
      </w:r>
    </w:p>
    <w:p w:rsidRPr="00976FCC" w:rsidR="001C1E78" w:rsidP="001C1E78" w:rsidRDefault="00A23F24" w14:paraId="7C8C15C1" w14:textId="51EA5DFF">
      <w:pPr>
        <w:pStyle w:val="Style1"/>
        <w:rPr>
          <w:rFonts w:ascii="Times New Roman" w:hAnsi="Times New Roman" w:cs="Times New Roman"/>
        </w:rPr>
      </w:pPr>
      <w:r w:rsidRPr="6F80BCB8" w:rsidR="0742DBB6">
        <w:rPr>
          <w:rFonts w:ascii="Times New Roman" w:hAnsi="Times New Roman" w:cs="Times New Roman"/>
        </w:rPr>
        <w:t>003.01.0</w:t>
      </w:r>
      <w:r w:rsidRPr="6F80BCB8" w:rsidR="6395C9D2">
        <w:rPr>
          <w:rFonts w:ascii="Times New Roman" w:hAnsi="Times New Roman" w:cs="Times New Roman"/>
        </w:rPr>
        <w:t>3</w:t>
      </w:r>
      <w:r w:rsidRPr="6F80BCB8" w:rsidR="001C1E78">
        <w:rPr>
          <w:rFonts w:ascii="Times New Roman" w:hAnsi="Times New Roman" w:cs="Times New Roman"/>
        </w:rPr>
        <w:t xml:space="preserve"> - </w:t>
      </w:r>
      <w:r w:rsidRPr="6F80BCB8" w:rsidR="53F27E17">
        <w:rPr>
          <w:rFonts w:ascii="Times New Roman" w:hAnsi="Times New Roman" w:cs="Times New Roman"/>
        </w:rPr>
        <w:t>D</w:t>
      </w:r>
      <w:r w:rsidRPr="6F80BCB8" w:rsidR="001C1E78">
        <w:rPr>
          <w:rFonts w:ascii="Times New Roman" w:hAnsi="Times New Roman" w:cs="Times New Roman"/>
        </w:rPr>
        <w:t>e</w:t>
      </w:r>
      <w:r w:rsidRPr="6F80BCB8" w:rsidR="53F27E17">
        <w:rPr>
          <w:rFonts w:ascii="Times New Roman" w:hAnsi="Times New Roman" w:cs="Times New Roman"/>
        </w:rPr>
        <w:t>scribe the CAF TDL Governance Administration Structure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3ECB0EB2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3ECB0EB2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576BCAF" w:rsidRDefault="001C1E78" w14:paraId="70F63B5A" w14:textId="4697F731">
            <w:pPr>
              <w:rPr>
                <w:lang w:val="en-CA"/>
              </w:rPr>
            </w:pPr>
            <w:r w:rsidRPr="7576BCAF" w:rsidR="3B75F243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576BCAF" w:rsidRDefault="001C1E78" w14:paraId="314FD918" w14:textId="129F34DE">
            <w:pPr>
              <w:rPr>
                <w:lang w:val="en-CA"/>
              </w:rPr>
            </w:pPr>
            <w:r w:rsidRPr="7576BCAF" w:rsidR="3B75F243">
              <w:rPr>
                <w:lang w:val="en-CA"/>
              </w:rPr>
              <w:t>After EO 003.01.01</w:t>
            </w:r>
          </w:p>
        </w:tc>
      </w:tr>
      <w:tr w:rsidR="001C1E78" w:rsidTr="3ECB0EB2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3ECB0EB2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576BCAF" w:rsidRDefault="001C1E78" w14:paraId="03B7F4D5" w14:textId="578B6FF0">
            <w:pPr>
              <w:rPr>
                <w:lang w:val="en-CA"/>
              </w:rPr>
            </w:pPr>
            <w:r w:rsidRPr="7576BCAF" w:rsidR="01FE5879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576BCAF" w:rsidRDefault="001C1E78" w14:paraId="433845DA" w14:textId="6C922B74">
            <w:pPr>
              <w:rPr>
                <w:lang w:val="en-CA"/>
              </w:rPr>
            </w:pPr>
            <w:r w:rsidRPr="7576BCAF" w:rsidR="01FE5879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576BCAF" w:rsidRDefault="001C1E78" w14:paraId="60DC980E" w14:textId="154BE7EF">
            <w:pPr>
              <w:rPr>
                <w:lang w:val="en-CA"/>
              </w:rPr>
            </w:pPr>
            <w:r w:rsidRPr="7576BCAF" w:rsidR="01FE5879">
              <w:rPr>
                <w:lang w:val="en-CA"/>
              </w:rPr>
              <w:t>TDL 300 Qualified Instructor or Guest Lecture SME</w:t>
            </w:r>
          </w:p>
        </w:tc>
      </w:tr>
      <w:tr w:rsidR="001C1E78" w:rsidTr="3ECB0EB2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ECB0EB2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3ECB0EB2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576BCAF" w:rsidRDefault="001C1E78" w14:paraId="300F3A50" w14:textId="6A23BD8F">
            <w:pPr>
              <w:rPr>
                <w:lang w:val="en-CA"/>
              </w:rPr>
            </w:pPr>
            <w:r w:rsidRPr="7576BCAF" w:rsidR="001C1E78">
              <w:rPr>
                <w:lang w:val="en-CA"/>
              </w:rPr>
              <w:t>1)</w:t>
            </w:r>
            <w:r w:rsidRPr="7576BCAF" w:rsidR="60F97AF0">
              <w:rPr>
                <w:lang w:val="en-CA"/>
              </w:rPr>
              <w:t xml:space="preserve"> Communications and Information Systems Steering </w:t>
            </w:r>
            <w:r w:rsidRPr="7576BCAF" w:rsidR="60F97AF0">
              <w:rPr>
                <w:lang w:val="en-CA"/>
              </w:rPr>
              <w:t>Committee</w:t>
            </w:r>
          </w:p>
          <w:p w:rsidRPr="004178B8" w:rsidR="001C1E78" w:rsidP="7576BCAF" w:rsidRDefault="001C1E78" w14:paraId="61DCF67F" w14:textId="6CC79599">
            <w:pPr>
              <w:rPr>
                <w:lang w:val="en-CA"/>
              </w:rPr>
            </w:pPr>
            <w:r w:rsidRPr="7576BCAF" w:rsidR="001C1E78">
              <w:rPr>
                <w:lang w:val="en-CA"/>
              </w:rPr>
              <w:t xml:space="preserve">2) </w:t>
            </w:r>
            <w:r w:rsidRPr="7576BCAF" w:rsidR="40347500">
              <w:rPr>
                <w:lang w:val="en-CA"/>
              </w:rPr>
              <w:t>Joint Tactical Data Link Stakeholders Working Group and Sub-Working Groups</w:t>
            </w:r>
          </w:p>
          <w:p w:rsidRPr="004178B8" w:rsidR="001C1E78" w:rsidP="7576BCAF" w:rsidRDefault="001C1E78" w14:paraId="533CDBF0" w14:textId="0F69E1CB">
            <w:pPr>
              <w:pStyle w:val="Normal"/>
              <w:rPr>
                <w:lang w:val="en-CA"/>
              </w:rPr>
            </w:pPr>
            <w:r w:rsidRPr="7576BCAF" w:rsidR="40347500">
              <w:rPr>
                <w:lang w:val="en-CA"/>
              </w:rPr>
              <w:t>3) Data Link Advisory Panels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576BCAF" w:rsidRDefault="001C1E78" w14:paraId="7F582574" w14:textId="2B4F73E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576BCAF" w:rsidR="5786A847">
              <w:rPr>
                <w:lang w:val="en-CA"/>
              </w:rPr>
              <w:t>Slide Sets</w:t>
            </w:r>
          </w:p>
          <w:p w:rsidRPr="00ED7D0A" w:rsidR="001C1E78" w:rsidP="7576BCAF" w:rsidRDefault="001C1E78" w14:paraId="0CF4D0ED" w14:textId="6893D7D2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576BCAF" w:rsidR="5786A847">
              <w:rPr>
                <w:lang w:val="en-CA"/>
              </w:rPr>
              <w:t>Interactive Lecture</w:t>
            </w:r>
          </w:p>
          <w:p w:rsidRPr="00ED7D0A" w:rsidR="001C1E78" w:rsidP="7576BCAF" w:rsidRDefault="001C1E78" w14:paraId="60CE6DF6" w14:textId="6DC44BC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576BCAF" w:rsidR="5786A847">
              <w:rPr>
                <w:lang w:val="en-CA"/>
              </w:rPr>
              <w:t>Confirmation Questions</w:t>
            </w:r>
          </w:p>
        </w:tc>
      </w:tr>
      <w:tr w:rsidR="001C1E78" w:rsidTr="3ECB0EB2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3ECB0EB2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708E3B1">
            <w:pPr>
              <w:rPr>
                <w:lang w:val="en-CA"/>
              </w:rPr>
            </w:pPr>
            <w:r w:rsidRPr="6F80BCB8" w:rsidR="445737BD">
              <w:rPr>
                <w:lang w:val="en-CA"/>
              </w:rPr>
              <w:t>Nil. If required refer to EO 008.03.01</w:t>
            </w:r>
          </w:p>
        </w:tc>
      </w:tr>
      <w:tr w:rsidR="001C1E78" w:rsidTr="3ECB0EB2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4B011D78" w:rsidP="3ECB0EB2" w:rsidRDefault="4B011D78" w14:paraId="7AB84399" w14:textId="5A60F322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ECB0EB2" w:rsidR="4B011D7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3ECB0EB2" w:rsidP="3ECB0EB2" w:rsidRDefault="3ECB0EB2" w14:paraId="71E41B0A" w14:textId="469ED331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B011D78" w:rsidP="3ECB0EB2" w:rsidRDefault="4B011D78" w14:paraId="19DA4295" w14:textId="17E999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You have </w:t>
            </w:r>
            <w:r w:rsidRPr="3ECB0EB2" w:rsidR="558162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now been introduced to the National and the Environmental </w:t>
            </w: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TDL Governance structure</w:t>
            </w:r>
            <w:r w:rsidRPr="3ECB0EB2" w:rsidR="4D65CA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</w:t>
            </w: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. </w:t>
            </w:r>
            <w:r w:rsidRPr="3ECB0EB2" w:rsidR="2A4016C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 this lesson you will see how the two are serviced by various </w:t>
            </w:r>
            <w:r w:rsidRPr="3ECB0EB2" w:rsidR="7D0A97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</w:t>
            </w:r>
            <w:r w:rsidRPr="3ECB0EB2" w:rsidR="2A4016C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ommittees, </w:t>
            </w:r>
            <w:r w:rsidRPr="3ECB0EB2" w:rsidR="036AE5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Working Groups and Panels and how they connect. </w:t>
            </w:r>
          </w:p>
          <w:p w:rsidR="4B011D78" w:rsidP="3ECB0EB2" w:rsidRDefault="4B011D78" w14:paraId="13987572" w14:textId="4FA0A6BD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ECB0EB2" w:rsidR="4B011D7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3ECB0EB2" w:rsidP="3ECB0EB2" w:rsidRDefault="3ECB0EB2" w14:paraId="61B43EE3" w14:textId="611ED055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B011D78" w:rsidP="6F80BCB8" w:rsidRDefault="4B011D78" w14:paraId="7E8F67E3" w14:textId="7BEC979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  <w:r w:rsidRPr="6F80BCB8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refer to the previously assembled “Slide Set” and facilitate a guided discussion for ONLY the </w:t>
            </w:r>
            <w:r w:rsidRPr="6F80BCB8" w:rsidR="06284B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Administration Structures</w:t>
            </w:r>
            <w:r w:rsidRPr="6F80BCB8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to determine student knowledge level</w:t>
            </w:r>
          </w:p>
          <w:p w:rsidR="4B011D78" w:rsidP="6F80BCB8" w:rsidRDefault="4B011D78" w14:paraId="38A492AE" w14:textId="76C744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6F80BCB8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deliver Ppt presentation Describe </w:t>
            </w:r>
            <w:r w:rsidRPr="6F80BCB8" w:rsidR="08D048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the CAF</w:t>
            </w:r>
            <w:r w:rsidRPr="6F80BCB8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TD</w:t>
            </w:r>
            <w:r w:rsidRPr="6F80BCB8" w:rsidR="08D048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L Governance Administration Structure</w:t>
            </w:r>
          </w:p>
          <w:p w:rsidR="4B011D78" w:rsidP="68B01C4A" w:rsidRDefault="4B011D78" w14:paraId="372E6543" w14:textId="38C7277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  <w:r w:rsidRPr="68B01C4A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Trainee confirmation will be completed at the end of this lesson</w:t>
            </w:r>
          </w:p>
          <w:p w:rsidR="483D409B" w:rsidP="3ECB0EB2" w:rsidRDefault="483D409B" w14:paraId="46560D1E" w14:textId="49AA6067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3ECB0EB2" w:rsidR="483D40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Instructor will then ask one trainee</w:t>
            </w:r>
            <w:r w:rsidRPr="3ECB0EB2" w:rsidR="1CB181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who, </w:t>
            </w:r>
            <w:r w:rsidRPr="3ECB0EB2" w:rsidR="483D40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with </w:t>
            </w:r>
            <w:r w:rsidRPr="3ECB0EB2" w:rsidR="2E4FA8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verbal </w:t>
            </w:r>
            <w:r w:rsidRPr="3ECB0EB2" w:rsidR="483D40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assistance </w:t>
            </w:r>
            <w:r w:rsidRPr="3ECB0EB2" w:rsidR="76E537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from remaining trainees, to make any required changes to the </w:t>
            </w:r>
            <w:r w:rsidRPr="3ECB0EB2" w:rsidR="696AE3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previous </w:t>
            </w:r>
            <w:r w:rsidRPr="3ECB0EB2" w:rsidR="76E537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Slide Set assembly from EO 001.01.01 IOT make it correct</w:t>
            </w:r>
            <w:r w:rsidRPr="3ECB0EB2" w:rsidR="483D40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</w:t>
            </w:r>
          </w:p>
          <w:p w:rsidR="6F80BCB8" w:rsidP="6F80BCB8" w:rsidRDefault="6F80BCB8" w14:paraId="17599B04" w14:textId="00649910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</w:p>
          <w:p w:rsidR="4B011D78" w:rsidP="3ECB0EB2" w:rsidRDefault="4B011D78" w14:paraId="06C43C68" w14:textId="2372CF93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ECB0EB2" w:rsidR="4B011D7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3ECB0EB2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3ECB0EB2" w:rsidP="3ECB0EB2" w:rsidRDefault="3ECB0EB2" w14:paraId="73EC9D19" w14:textId="064F2E29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B011D78" w:rsidP="68B01C4A" w:rsidRDefault="4B011D78" w14:paraId="57084A77" w14:textId="4DC66CB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68B01C4A" w:rsidR="4B011D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complete the lesson once trainee demonstrates an understanding of the LO content based on confirmation question participation.</w:t>
            </w:r>
          </w:p>
          <w:p w:rsidR="6F80BCB8" w:rsidP="6F80BCB8" w:rsidRDefault="6F80BCB8" w14:paraId="277CEB93" w14:textId="4D2F58BD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584D73B8" w:rsidP="584D73B8" w:rsidRDefault="584D73B8" w14:paraId="0023AD95" w14:textId="527C8FCA">
            <w:pPr>
              <w:pStyle w:val="Normal"/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3ECB0EB2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ECB0EB2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3ECB0EB2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7576BCAF" w:rsidRDefault="001C1E78" w14:paraId="0EB146A4" w14:textId="77CD0DDD">
            <w:pPr>
              <w:rPr>
                <w:lang w:val="en-CA"/>
              </w:rPr>
            </w:pPr>
            <w:r w:rsidRPr="7576BCAF" w:rsidR="001C1E78">
              <w:rPr>
                <w:lang w:val="en-CA"/>
              </w:rPr>
              <w:t>1)</w:t>
            </w:r>
            <w:r w:rsidRPr="7576BCAF" w:rsidR="50A3101F">
              <w:rPr>
                <w:lang w:val="en-CA"/>
              </w:rPr>
              <w:t xml:space="preserve"> </w:t>
            </w:r>
            <w:r w:rsidRPr="7576BCAF" w:rsidR="6D4693B1">
              <w:rPr>
                <w:lang w:val="en-CA"/>
              </w:rPr>
              <w:t>Workstation and Projector</w:t>
            </w:r>
          </w:p>
          <w:p w:rsidRPr="004178B8" w:rsidR="001C1E78" w:rsidP="7576BCAF" w:rsidRDefault="001C1E78" w14:paraId="5B6C5A4A" w14:textId="4175460B">
            <w:pPr>
              <w:rPr>
                <w:lang w:val="en-CA"/>
              </w:rPr>
            </w:pPr>
            <w:r w:rsidRPr="6F80BCB8" w:rsidR="001C1E78">
              <w:rPr>
                <w:lang w:val="en-CA"/>
              </w:rPr>
              <w:t xml:space="preserve">2) </w:t>
            </w:r>
            <w:r w:rsidRPr="6F80BCB8" w:rsidR="7F951B0F">
              <w:rPr>
                <w:lang w:val="en-CA"/>
              </w:rPr>
              <w:t>Whit</w:t>
            </w:r>
            <w:r w:rsidRPr="6F80BCB8" w:rsidR="1AA0D9AB">
              <w:rPr>
                <w:lang w:val="en-CA"/>
              </w:rPr>
              <w:t>e</w:t>
            </w:r>
            <w:r w:rsidRPr="6F80BCB8" w:rsidR="7F951B0F">
              <w:rPr>
                <w:lang w:val="en-CA"/>
              </w:rPr>
              <w:t>board</w:t>
            </w:r>
          </w:p>
          <w:p w:rsidRPr="004178B8" w:rsidR="001C1E78" w:rsidP="560ACAB5" w:rsidRDefault="001C1E78" w14:paraId="1925D939" w14:textId="1A62BE62">
            <w:pPr>
              <w:pStyle w:val="Normal"/>
              <w:rPr>
                <w:lang w:val="en-CA"/>
              </w:rPr>
            </w:pPr>
            <w:r w:rsidRPr="560ACAB5" w:rsidR="7F951B0F">
              <w:rPr>
                <w:lang w:val="en-CA"/>
              </w:rPr>
              <w:t>3) Ppt Slides</w:t>
            </w:r>
          </w:p>
          <w:p w:rsidRPr="004178B8" w:rsidR="001C1E78" w:rsidP="7576BCAF" w:rsidRDefault="001C1E78" w14:paraId="41EFC28B" w14:textId="73E35112">
            <w:pPr>
              <w:pStyle w:val="Normal"/>
              <w:rPr>
                <w:lang w:val="en-CA"/>
              </w:rPr>
            </w:pPr>
            <w:r w:rsidRPr="560ACAB5" w:rsidR="568789A6">
              <w:rPr>
                <w:lang w:val="en-CA"/>
              </w:rPr>
              <w:t>4) 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7576BCAF" w:rsidRDefault="001C1E78" w14:paraId="76212C64" w14:textId="23BFA7F1">
            <w:pPr>
              <w:rPr>
                <w:lang w:val="en-CA"/>
              </w:rPr>
            </w:pPr>
            <w:r w:rsidRPr="7576BCAF" w:rsidR="001C1E78">
              <w:rPr>
                <w:lang w:val="en-CA"/>
              </w:rPr>
              <w:t>1</w:t>
            </w:r>
            <w:r w:rsidRPr="7576BCAF" w:rsidR="001C1E78">
              <w:rPr>
                <w:lang w:val="en-CA"/>
              </w:rPr>
              <w:t>)</w:t>
            </w:r>
            <w:r w:rsidRPr="7576BCAF" w:rsidR="176730F8">
              <w:rPr>
                <w:lang w:val="en-CA"/>
              </w:rPr>
              <w:t xml:space="preserve"> TDL Executive Brief</w:t>
            </w:r>
          </w:p>
          <w:p w:rsidRPr="004178B8" w:rsidR="001C1E78" w:rsidP="7576BCAF" w:rsidRDefault="001C1E78" w14:paraId="1118EE60" w14:textId="253A7AA7">
            <w:pPr>
              <w:rPr>
                <w:lang w:val="en-CA"/>
              </w:rPr>
            </w:pPr>
            <w:r w:rsidRPr="7576BCAF" w:rsidR="001C1E78">
              <w:rPr>
                <w:lang w:val="en-CA"/>
              </w:rPr>
              <w:t>2</w:t>
            </w:r>
            <w:r w:rsidRPr="7576BCAF" w:rsidR="001C1E78">
              <w:rPr>
                <w:lang w:val="en-CA"/>
              </w:rPr>
              <w:t>)</w:t>
            </w:r>
            <w:r w:rsidRPr="7576BCAF" w:rsidR="5D703CE7">
              <w:rPr>
                <w:lang w:val="en-CA"/>
              </w:rPr>
              <w:t xml:space="preserve"> CJOC CONOP (DRAFT)</w:t>
            </w:r>
          </w:p>
          <w:p w:rsidRPr="004178B8" w:rsidR="001C1E78" w:rsidP="7576BCAF" w:rsidRDefault="001C1E78" w14:paraId="3C381C60" w14:textId="40AAFF6A">
            <w:pPr>
              <w:pStyle w:val="Normal"/>
              <w:rPr>
                <w:lang w:val="en-CA"/>
              </w:rPr>
            </w:pPr>
            <w:r w:rsidRPr="6F80BCB8" w:rsidR="5D703CE7">
              <w:rPr>
                <w:lang w:val="en-CA"/>
              </w:rPr>
              <w:t>3) RCAF</w:t>
            </w:r>
            <w:r w:rsidRPr="6F80BCB8" w:rsidR="270DC0DB">
              <w:rPr>
                <w:lang w:val="en-CA"/>
              </w:rPr>
              <w:t xml:space="preserve"> CONEMP ver 2</w:t>
            </w:r>
          </w:p>
          <w:p w:rsidRPr="004178B8" w:rsidR="001C1E78" w:rsidP="7576BCAF" w:rsidRDefault="001C1E78" w14:paraId="78A97F2F" w14:textId="10D580D6">
            <w:pPr>
              <w:pStyle w:val="Normal"/>
              <w:rPr>
                <w:lang w:val="en-CA"/>
              </w:rPr>
            </w:pPr>
            <w:r w:rsidRPr="7576BCAF" w:rsidR="5D703CE7">
              <w:rPr>
                <w:lang w:val="en-CA"/>
              </w:rPr>
              <w:t>4) RCN TDL Strategy</w:t>
            </w:r>
          </w:p>
        </w:tc>
      </w:tr>
      <w:tr w:rsidR="001C1E78" w:rsidTr="3ECB0EB2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ECB0EB2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3ECB0EB2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FE5879"/>
    <w:rsid w:val="035DCBF8"/>
    <w:rsid w:val="036AE599"/>
    <w:rsid w:val="06284B94"/>
    <w:rsid w:val="0742DBB6"/>
    <w:rsid w:val="07855918"/>
    <w:rsid w:val="081814BE"/>
    <w:rsid w:val="08471370"/>
    <w:rsid w:val="087568C8"/>
    <w:rsid w:val="08B94C4C"/>
    <w:rsid w:val="08D04817"/>
    <w:rsid w:val="090454D5"/>
    <w:rsid w:val="096BE163"/>
    <w:rsid w:val="0C3BFE5C"/>
    <w:rsid w:val="0F8687F7"/>
    <w:rsid w:val="0FBB36C9"/>
    <w:rsid w:val="1019A83D"/>
    <w:rsid w:val="116A19BF"/>
    <w:rsid w:val="14B27317"/>
    <w:rsid w:val="1510FDC5"/>
    <w:rsid w:val="154AA76F"/>
    <w:rsid w:val="176730F8"/>
    <w:rsid w:val="17BA5642"/>
    <w:rsid w:val="187A5162"/>
    <w:rsid w:val="18EDEB8C"/>
    <w:rsid w:val="1A1E1892"/>
    <w:rsid w:val="1A270604"/>
    <w:rsid w:val="1A448937"/>
    <w:rsid w:val="1AA0D9AB"/>
    <w:rsid w:val="1C15778E"/>
    <w:rsid w:val="1C41467C"/>
    <w:rsid w:val="1CB181CC"/>
    <w:rsid w:val="1CB7A019"/>
    <w:rsid w:val="1D4C6B3F"/>
    <w:rsid w:val="1E089AE0"/>
    <w:rsid w:val="1EBE0E57"/>
    <w:rsid w:val="1F7F7BDA"/>
    <w:rsid w:val="2215BF62"/>
    <w:rsid w:val="22DA997F"/>
    <w:rsid w:val="237C01E2"/>
    <w:rsid w:val="244FF5FB"/>
    <w:rsid w:val="24D201A4"/>
    <w:rsid w:val="261CA5EC"/>
    <w:rsid w:val="261E7005"/>
    <w:rsid w:val="267EB7EF"/>
    <w:rsid w:val="26D12094"/>
    <w:rsid w:val="270DC0DB"/>
    <w:rsid w:val="28659D4D"/>
    <w:rsid w:val="2A090E11"/>
    <w:rsid w:val="2A4016CB"/>
    <w:rsid w:val="2A4A5992"/>
    <w:rsid w:val="2A4D6DA0"/>
    <w:rsid w:val="2B9BA626"/>
    <w:rsid w:val="2C13E4EF"/>
    <w:rsid w:val="2E466C15"/>
    <w:rsid w:val="2E4FA8CA"/>
    <w:rsid w:val="2EC274AE"/>
    <w:rsid w:val="3081FB5F"/>
    <w:rsid w:val="30B916C6"/>
    <w:rsid w:val="33757772"/>
    <w:rsid w:val="337789D8"/>
    <w:rsid w:val="33A06459"/>
    <w:rsid w:val="365A1340"/>
    <w:rsid w:val="36AD1834"/>
    <w:rsid w:val="37A04FE8"/>
    <w:rsid w:val="3B2F2838"/>
    <w:rsid w:val="3B75F243"/>
    <w:rsid w:val="3C104AE8"/>
    <w:rsid w:val="3C630E9F"/>
    <w:rsid w:val="3D19655B"/>
    <w:rsid w:val="3E10795B"/>
    <w:rsid w:val="3ECB0EB2"/>
    <w:rsid w:val="40347500"/>
    <w:rsid w:val="42675A85"/>
    <w:rsid w:val="445737BD"/>
    <w:rsid w:val="460262E3"/>
    <w:rsid w:val="46E15C89"/>
    <w:rsid w:val="47661AEF"/>
    <w:rsid w:val="47AE98EF"/>
    <w:rsid w:val="483D409B"/>
    <w:rsid w:val="4946BABA"/>
    <w:rsid w:val="494FDAF5"/>
    <w:rsid w:val="4B011D78"/>
    <w:rsid w:val="4B22FD6B"/>
    <w:rsid w:val="4B86D40B"/>
    <w:rsid w:val="4C7CBA24"/>
    <w:rsid w:val="4D65CAA4"/>
    <w:rsid w:val="50A3101F"/>
    <w:rsid w:val="5383B56D"/>
    <w:rsid w:val="53F27E17"/>
    <w:rsid w:val="5484A3D2"/>
    <w:rsid w:val="558162BF"/>
    <w:rsid w:val="560A652C"/>
    <w:rsid w:val="560ACAB5"/>
    <w:rsid w:val="568789A6"/>
    <w:rsid w:val="5786A847"/>
    <w:rsid w:val="5820A980"/>
    <w:rsid w:val="584D73B8"/>
    <w:rsid w:val="58ADD460"/>
    <w:rsid w:val="58F5D14A"/>
    <w:rsid w:val="59C5DEDB"/>
    <w:rsid w:val="59C75A69"/>
    <w:rsid w:val="59FFC5B3"/>
    <w:rsid w:val="5AF4FE57"/>
    <w:rsid w:val="5C93054E"/>
    <w:rsid w:val="5CB7CE79"/>
    <w:rsid w:val="5CB8EF45"/>
    <w:rsid w:val="5D703CE7"/>
    <w:rsid w:val="5E3605D3"/>
    <w:rsid w:val="600B1E78"/>
    <w:rsid w:val="60CE9B09"/>
    <w:rsid w:val="60F97AF0"/>
    <w:rsid w:val="6395C9D2"/>
    <w:rsid w:val="63C74301"/>
    <w:rsid w:val="65B34049"/>
    <w:rsid w:val="65FEF3C8"/>
    <w:rsid w:val="68B01C4A"/>
    <w:rsid w:val="696AE3AC"/>
    <w:rsid w:val="6972C07C"/>
    <w:rsid w:val="6A0770D1"/>
    <w:rsid w:val="6AA46D40"/>
    <w:rsid w:val="6B2EF0CC"/>
    <w:rsid w:val="6CEF1406"/>
    <w:rsid w:val="6D4693B1"/>
    <w:rsid w:val="6D5577C5"/>
    <w:rsid w:val="6D5ED480"/>
    <w:rsid w:val="6F748C2E"/>
    <w:rsid w:val="6F80BCB8"/>
    <w:rsid w:val="6FB58830"/>
    <w:rsid w:val="71B431F0"/>
    <w:rsid w:val="734AC183"/>
    <w:rsid w:val="74584E3E"/>
    <w:rsid w:val="748FEEA8"/>
    <w:rsid w:val="74B1CE06"/>
    <w:rsid w:val="7576BCAF"/>
    <w:rsid w:val="763C9D60"/>
    <w:rsid w:val="766B6112"/>
    <w:rsid w:val="76E53718"/>
    <w:rsid w:val="770E2E00"/>
    <w:rsid w:val="7804413F"/>
    <w:rsid w:val="78890FEA"/>
    <w:rsid w:val="78C9D66D"/>
    <w:rsid w:val="79E5E863"/>
    <w:rsid w:val="7AF32E41"/>
    <w:rsid w:val="7BD96031"/>
    <w:rsid w:val="7D0A9752"/>
    <w:rsid w:val="7DE4C694"/>
    <w:rsid w:val="7E814D39"/>
    <w:rsid w:val="7F95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8</revision>
  <lastPrinted>2018-04-19T15:20:00.0000000Z</lastPrinted>
  <dcterms:created xsi:type="dcterms:W3CDTF">2021-01-29T16:31:00.0000000Z</dcterms:created>
  <dcterms:modified xsi:type="dcterms:W3CDTF">2021-02-12T18:56:39.9073386Z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