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06B49B35">
      <w:pPr>
        <w:rPr>
          <w:sz w:val="32"/>
          <w:szCs w:val="32"/>
        </w:rPr>
      </w:pPr>
      <w:r w:rsidRPr="7E0E5D97" w:rsidR="001C1E78">
        <w:rPr>
          <w:sz w:val="32"/>
          <w:szCs w:val="32"/>
        </w:rPr>
        <w:t xml:space="preserve">EO </w:t>
      </w:r>
      <w:r w:rsidRPr="7E0E5D97" w:rsidR="6CCCFC1C">
        <w:rPr>
          <w:sz w:val="32"/>
          <w:szCs w:val="32"/>
        </w:rPr>
        <w:t>001</w:t>
      </w:r>
      <w:r w:rsidRPr="7E0E5D97" w:rsidR="001C1E78">
        <w:rPr>
          <w:sz w:val="32"/>
          <w:szCs w:val="32"/>
        </w:rPr>
        <w:t>.</w:t>
      </w:r>
      <w:r w:rsidRPr="7E0E5D97" w:rsidR="337D783F">
        <w:rPr>
          <w:sz w:val="32"/>
          <w:szCs w:val="32"/>
        </w:rPr>
        <w:t>05</w:t>
      </w:r>
      <w:r w:rsidRPr="7E0E5D97" w:rsidR="001C1E78">
        <w:rPr>
          <w:sz w:val="32"/>
          <w:szCs w:val="32"/>
        </w:rPr>
        <w:t xml:space="preserve"> - </w:t>
      </w:r>
      <w:r w:rsidRPr="7E0E5D97" w:rsidR="7A0B7EBD">
        <w:rPr>
          <w:sz w:val="32"/>
          <w:szCs w:val="32"/>
        </w:rPr>
        <w:t>Describe Non TDL Protocols</w:t>
      </w:r>
    </w:p>
    <w:p w:rsidRPr="00976FCC" w:rsidR="001C1E78" w:rsidP="001C1E78" w:rsidRDefault="00A23F24" w14:paraId="7C8C15C1" w14:textId="5742038B">
      <w:pPr>
        <w:pStyle w:val="Style1"/>
        <w:rPr>
          <w:rFonts w:ascii="Times New Roman" w:hAnsi="Times New Roman" w:cs="Times New Roman"/>
        </w:rPr>
      </w:pPr>
      <w:r w:rsidRPr="7E0E5D97" w:rsidR="7A0B7EBD">
        <w:rPr>
          <w:rFonts w:ascii="Times New Roman" w:hAnsi="Times New Roman" w:cs="Times New Roman"/>
        </w:rPr>
        <w:t>001</w:t>
      </w:r>
      <w:r w:rsidRPr="7E0E5D97" w:rsidR="001C1E78">
        <w:rPr>
          <w:rFonts w:ascii="Times New Roman" w:hAnsi="Times New Roman" w:cs="Times New Roman"/>
        </w:rPr>
        <w:t>.</w:t>
      </w:r>
      <w:r w:rsidRPr="7E0E5D97" w:rsidR="50F09DE7">
        <w:rPr>
          <w:rFonts w:ascii="Times New Roman" w:hAnsi="Times New Roman" w:cs="Times New Roman"/>
        </w:rPr>
        <w:t>05</w:t>
      </w:r>
      <w:r w:rsidRPr="7E0E5D97" w:rsidR="3B2F2838">
        <w:rPr>
          <w:rFonts w:ascii="Times New Roman" w:hAnsi="Times New Roman" w:cs="Times New Roman"/>
        </w:rPr>
        <w:t>.</w:t>
      </w:r>
      <w:r w:rsidRPr="7E0E5D97" w:rsidR="4131FF62">
        <w:rPr>
          <w:rFonts w:ascii="Times New Roman" w:hAnsi="Times New Roman" w:cs="Times New Roman"/>
        </w:rPr>
        <w:t>02</w:t>
      </w:r>
      <w:r w:rsidRPr="7E0E5D97" w:rsidR="001C1E78">
        <w:rPr>
          <w:rFonts w:ascii="Times New Roman" w:hAnsi="Times New Roman" w:cs="Times New Roman"/>
        </w:rPr>
        <w:t xml:space="preserve"> - </w:t>
      </w:r>
      <w:r w:rsidRPr="7E0E5D97" w:rsidR="5E6915AA">
        <w:rPr>
          <w:rFonts w:ascii="Times New Roman" w:hAnsi="Times New Roman" w:cs="Times New Roman"/>
        </w:rPr>
        <w:t>JREAP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38E7AD6E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38E7AD6E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7E0E5D97" w:rsidRDefault="001C1E78" w14:paraId="70F63B5A" w14:textId="5A831E2D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E0E5D97" w:rsidR="4D7A1D8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Classroom with Workstations and projector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7E0E5D97" w:rsidRDefault="001C1E78" w14:paraId="314FD918" w14:textId="00B03848">
            <w:pPr>
              <w:rPr>
                <w:lang w:val="en-CA"/>
              </w:rPr>
            </w:pPr>
            <w:r w:rsidRPr="7E0E5D97" w:rsidR="4D7A1D8D">
              <w:rPr>
                <w:lang w:val="en-CA"/>
              </w:rPr>
              <w:t>2</w:t>
            </w:r>
            <w:r w:rsidRPr="7E0E5D97" w:rsidR="4D7A1D8D">
              <w:rPr>
                <w:vertAlign w:val="superscript"/>
                <w:lang w:val="en-CA"/>
              </w:rPr>
              <w:t>nd</w:t>
            </w:r>
            <w:r w:rsidRPr="7E0E5D97" w:rsidR="4D7A1D8D">
              <w:rPr>
                <w:lang w:val="en-CA"/>
              </w:rPr>
              <w:t xml:space="preserve"> Lesson in 001.05</w:t>
            </w:r>
          </w:p>
        </w:tc>
      </w:tr>
      <w:tr w:rsidR="001C1E78" w:rsidTr="38E7AD6E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38E7AD6E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7E0E5D97" w:rsidRDefault="001C1E78" w14:paraId="03B7F4D5" w14:textId="1BDB1955">
            <w:pPr>
              <w:rPr>
                <w:lang w:val="en-CA"/>
              </w:rPr>
            </w:pPr>
            <w:r w:rsidRPr="7E0E5D97" w:rsidR="551E0072">
              <w:rPr>
                <w:lang w:val="en-CA"/>
              </w:rPr>
              <w:t>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7E0E5D97" w:rsidRDefault="001C1E78" w14:paraId="433845DA" w14:textId="0677CC5C">
            <w:pPr>
              <w:rPr>
                <w:lang w:val="en-CA"/>
              </w:rPr>
            </w:pPr>
            <w:r w:rsidRPr="7E0E5D97" w:rsidR="551E0072">
              <w:rPr>
                <w:lang w:val="en-CA"/>
              </w:rPr>
              <w:t>Unclass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7E0E5D97" w:rsidRDefault="001C1E78" w14:paraId="60DC980E" w14:textId="2C283844">
            <w:pPr>
              <w:rPr>
                <w:lang w:val="en-CA"/>
              </w:rPr>
            </w:pPr>
            <w:r w:rsidRPr="7E0E5D97" w:rsidR="551E0072">
              <w:rPr>
                <w:lang w:val="en-CA"/>
              </w:rPr>
              <w:t>TDL 300 Qualified</w:t>
            </w:r>
          </w:p>
        </w:tc>
      </w:tr>
      <w:tr w:rsidR="001C1E78" w:rsidTr="38E7AD6E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8E7AD6E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38E7AD6E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7E0E5D97" w:rsidRDefault="001C1E78" w14:paraId="300F3A50" w14:textId="6A40403A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7E0E5D97" w:rsidR="001C1E78">
              <w:rPr>
                <w:lang w:val="en-CA"/>
              </w:rPr>
              <w:t>1)</w:t>
            </w:r>
            <w:r w:rsidRPr="7E0E5D97" w:rsidR="46BF38E8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 JREAP A</w:t>
            </w:r>
          </w:p>
          <w:p w:rsidRPr="004178B8" w:rsidR="001C1E78" w:rsidP="7E0E5D97" w:rsidRDefault="001C1E78" w14:paraId="5AE5D91B" w14:textId="0D04C784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E7AD6E" w:rsidR="001C1E78">
              <w:rPr>
                <w:lang w:val="en-CA"/>
              </w:rPr>
              <w:t xml:space="preserve">2) </w:t>
            </w:r>
            <w:r w:rsidRPr="38E7AD6E" w:rsidR="1BA421F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JREAP </w:t>
            </w:r>
            <w:r w:rsidRPr="38E7AD6E" w:rsidR="2B3C4734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B</w:t>
            </w:r>
          </w:p>
          <w:p w:rsidRPr="004178B8" w:rsidR="001C1E78" w:rsidP="7E0E5D97" w:rsidRDefault="001C1E78" w14:paraId="533CDBF0" w14:textId="4CAA68C6">
            <w:pPr>
              <w:pStyle w:val="Normal"/>
              <w:rPr>
                <w:lang w:val="en-CA"/>
              </w:rPr>
            </w:pPr>
            <w:r w:rsidRPr="7E0E5D97" w:rsidR="46AC9E39">
              <w:rPr>
                <w:lang w:val="en-CA"/>
              </w:rPr>
              <w:t>3)</w:t>
            </w:r>
            <w:r w:rsidRPr="7E0E5D97" w:rsidR="780F1642">
              <w:rPr>
                <w:lang w:val="en-CA"/>
              </w:rPr>
              <w:t xml:space="preserve"> JREAP C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7E0E5D97" w:rsidRDefault="001C1E78" w14:paraId="33CA07A1" w14:textId="22DE1CE5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E0E5D97" w:rsidR="780F16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Reading Assignment</w:t>
            </w:r>
          </w:p>
          <w:p w:rsidRPr="00ED7D0A" w:rsidR="001C1E78" w:rsidP="7E0E5D97" w:rsidRDefault="001C1E78" w14:paraId="78D49678" w14:textId="5891B185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E0E5D97" w:rsidR="780F16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Interactive Lecture</w:t>
            </w:r>
          </w:p>
          <w:p w:rsidRPr="00ED7D0A" w:rsidR="001C1E78" w:rsidP="7E0E5D97" w:rsidRDefault="001C1E78" w14:paraId="7D0B4C90" w14:textId="0512E6F7">
            <w:pPr>
              <w:pStyle w:val="ListParagraph"/>
              <w:numPr>
                <w:ilvl w:val="0"/>
                <w:numId w:val="15"/>
              </w:numPr>
              <w:ind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E0E5D97" w:rsidR="780F16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Confirmation Questions</w:t>
            </w:r>
          </w:p>
          <w:p w:rsidRPr="00ED7D0A" w:rsidR="001C1E78" w:rsidP="7E0E5D97" w:rsidRDefault="001C1E78" w14:paraId="4338AE8F" w14:textId="75A0D22D">
            <w:pPr>
              <w:pStyle w:val="ListParagraph"/>
              <w:numPr>
                <w:ilvl w:val="0"/>
                <w:numId w:val="15"/>
              </w:numPr>
              <w:ind/>
              <w:rPr>
                <w:noProof w:val="0"/>
                <w:sz w:val="22"/>
                <w:szCs w:val="22"/>
                <w:lang w:val="en-US"/>
              </w:rPr>
            </w:pPr>
            <w:r w:rsidRPr="7E0E5D97" w:rsidR="780F16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Best Summary</w:t>
            </w:r>
          </w:p>
          <w:p w:rsidRPr="00ED7D0A" w:rsidR="001C1E78" w:rsidP="7E0E5D97" w:rsidRDefault="001C1E78" w14:paraId="60CE6DF6" w14:textId="523087FD">
            <w:pPr>
              <w:pStyle w:val="Normal"/>
              <w:ind w:left="0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</w:p>
        </w:tc>
      </w:tr>
      <w:tr w:rsidR="001C1E78" w:rsidTr="38E7AD6E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38E7AD6E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7E0E5D97" w:rsidRDefault="001C1E78" w14:paraId="2EB0000C" w14:textId="30B24715">
            <w:pPr>
              <w:rPr>
                <w:b w:val="1"/>
                <w:bCs w:val="1"/>
                <w:sz w:val="32"/>
                <w:szCs w:val="32"/>
                <w:lang w:val="en-CA"/>
              </w:rPr>
            </w:pPr>
            <w:r w:rsidRPr="7E0E5D97" w:rsidR="001C1E78">
              <w:rPr>
                <w:b w:val="1"/>
                <w:bCs w:val="1"/>
                <w:sz w:val="32"/>
                <w:szCs w:val="32"/>
                <w:lang w:val="en-CA"/>
              </w:rPr>
              <w:t>Scenario</w:t>
            </w:r>
            <w:r w:rsidRPr="7E0E5D97" w:rsidR="6A2A2C4A">
              <w:rPr>
                <w:b w:val="1"/>
                <w:bCs w:val="1"/>
                <w:sz w:val="32"/>
                <w:szCs w:val="32"/>
                <w:lang w:val="en-CA"/>
              </w:rPr>
              <w:t>Nil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0FC5622" w:rsidRDefault="001C1E78" w14:paraId="30FE9C16" w14:textId="77777777">
            <w:pPr>
              <w:rPr>
                <w:lang w:val="en-CA"/>
              </w:rPr>
            </w:pPr>
          </w:p>
        </w:tc>
      </w:tr>
      <w:tr w:rsidR="001C1E78" w:rsidTr="38E7AD6E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="001C1E78" w:rsidP="00FC5622" w:rsidRDefault="001C1E78" w14:paraId="76E5FDD9" w14:textId="77777777">
            <w:pPr>
              <w:rPr>
                <w:lang w:val="en-CA"/>
              </w:rPr>
            </w:pPr>
          </w:p>
          <w:p w:rsidR="001C1E78" w:rsidP="38E7AD6E" w:rsidRDefault="001C1E78" w14:paraId="442B3A46" w14:textId="447FFDE5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38E7AD6E" w:rsidR="09D685C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Introduction -</w:t>
            </w:r>
            <w:r w:rsidRPr="38E7AD6E" w:rsidR="09D685C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 </w:t>
            </w: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38E7AD6E" w:rsidRDefault="001C1E78" w14:paraId="63CD4914" w14:textId="3829B396">
            <w:p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7E0E5D97" w:rsidRDefault="001C1E78" w14:paraId="28B46A8A" w14:textId="35B05E81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The Int</w:t>
            </w:r>
            <w:r w:rsidRPr="38E7AD6E" w:rsidR="0D36B650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r</w:t>
            </w: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o will be performed to the expected standard of the respective </w:t>
            </w: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TE</w:t>
            </w:r>
            <w:r w:rsidRPr="38E7AD6E" w:rsidR="4FB6FCD3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.</w:t>
            </w:r>
          </w:p>
          <w:p w:rsidR="001C1E78" w:rsidP="00FC5622" w:rsidRDefault="001C1E78" w14:paraId="79166D9E" w14:textId="14106C24">
            <w:pPr/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4D5C46A3" w14:textId="559485FB">
            <w:pPr/>
            <w:r w:rsidRPr="7E0E5D97" w:rsidR="09D685C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Activity - </w:t>
            </w: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00FC5622" w:rsidRDefault="001C1E78" w14:paraId="30D0DE33" w14:textId="07B19C22">
            <w:pPr/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7E0E5D97" w:rsidRDefault="001C1E78" w14:paraId="50FE9DC1" w14:textId="0116AF37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38E7AD6E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Students to read required material for each learning objective.</w:t>
            </w:r>
            <w:r w:rsidRPr="38E7AD6E" w:rsidR="5E32EE21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MIL-STD 3011 will be used for this.</w:t>
            </w:r>
          </w:p>
          <w:p w:rsidR="001C1E78" w:rsidP="7E0E5D97" w:rsidRDefault="001C1E78" w14:paraId="294A3DD1" w14:textId="28B0C298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Instructor will deliver an interactive lecture for LOs 1,2, and 3 to include confirmation questions at the end to solidify the knowledge.</w:t>
            </w:r>
          </w:p>
          <w:p w:rsidR="001C1E78" w:rsidP="7E0E5D97" w:rsidRDefault="001C1E78" w14:paraId="49F77D4C" w14:textId="7A98CB4B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</w:pP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Instructor will conduct confirmation activity using interactive </w:t>
            </w: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questioning</w:t>
            </w:r>
            <w:r w:rsidRPr="7E0E5D97" w:rsidR="6DE6BDB1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.</w:t>
            </w:r>
          </w:p>
          <w:p w:rsidR="001C1E78" w:rsidP="00FC5622" w:rsidRDefault="001C1E78" w14:paraId="17D21749" w14:textId="5777E8D6">
            <w:pPr/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   </w:t>
            </w:r>
          </w:p>
          <w:p w:rsidR="001C1E78" w:rsidP="7E0E5D97" w:rsidRDefault="001C1E78" w14:paraId="54A2E208" w14:textId="39697716">
            <w:pPr>
              <w:spacing w:line="257" w:lineRule="auto"/>
            </w:pPr>
            <w:r w:rsidRPr="7E0E5D97" w:rsidR="09D685CC">
              <w:rPr>
                <w:rFonts w:ascii="Times" w:hAnsi="Times" w:eastAsia="Times" w:cs="Times"/>
                <w:b w:val="1"/>
                <w:bCs w:val="1"/>
                <w:noProof w:val="0"/>
                <w:sz w:val="24"/>
                <w:szCs w:val="24"/>
                <w:lang w:val="en-US"/>
              </w:rPr>
              <w:t>Conclusion</w:t>
            </w: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– </w:t>
            </w:r>
          </w:p>
          <w:p w:rsidR="001C1E78" w:rsidP="7E0E5D97" w:rsidRDefault="001C1E78" w14:paraId="0CEB13B1" w14:textId="4965E0E5">
            <w:pPr>
              <w:spacing w:line="257" w:lineRule="auto"/>
            </w:pP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1C1E78" w:rsidP="7E0E5D97" w:rsidRDefault="001C1E78" w14:paraId="737A0F54" w14:textId="5F33B7EA">
            <w:pPr>
              <w:pStyle w:val="ListParagraph"/>
              <w:numPr>
                <w:ilvl w:val="0"/>
                <w:numId w:val="16"/>
              </w:numPr>
              <w:rPr>
                <w:rFonts w:ascii="Times" w:hAnsi="Times" w:eastAsia="Times" w:cs="Times"/>
                <w:sz w:val="24"/>
                <w:szCs w:val="24"/>
              </w:rPr>
            </w:pPr>
            <w:r w:rsidRPr="7E0E5D97" w:rsidR="09D685CC">
              <w:rPr>
                <w:rFonts w:ascii="Times" w:hAnsi="Times" w:eastAsia="Times" w:cs="Times"/>
                <w:noProof w:val="0"/>
                <w:sz w:val="24"/>
                <w:szCs w:val="24"/>
                <w:lang w:val="en-US"/>
              </w:rPr>
              <w:t>Each student will conduct best summary activity where they will summarize their main takeaways from the lesson.</w:t>
            </w:r>
          </w:p>
          <w:p w:rsidR="001C1E78" w:rsidP="7E0E5D97" w:rsidRDefault="001C1E78" w14:paraId="70485E5F" w14:textId="0F912349">
            <w:pPr>
              <w:pStyle w:val="Normal"/>
              <w:rPr>
                <w:lang w:val="en-CA"/>
              </w:rPr>
            </w:pPr>
          </w:p>
          <w:p w:rsidR="001C1E78" w:rsidP="00FC5622" w:rsidRDefault="001C1E78" w14:paraId="23595C1F" w14:textId="77777777">
            <w:pPr>
              <w:rPr>
                <w:lang w:val="en-CA"/>
              </w:rPr>
            </w:pPr>
          </w:p>
          <w:p w:rsidR="001C1E78" w:rsidP="00FC5622" w:rsidRDefault="001C1E78" w14:paraId="362FE39C" w14:textId="77777777">
            <w:pPr>
              <w:rPr>
                <w:lang w:val="en-CA"/>
              </w:rPr>
            </w:pPr>
          </w:p>
          <w:p w:rsidR="001C1E78" w:rsidP="00FC5622" w:rsidRDefault="001C1E78" w14:paraId="663BA30C" w14:textId="77777777">
            <w:pPr>
              <w:rPr>
                <w:lang w:val="en-CA"/>
              </w:rPr>
            </w:pPr>
          </w:p>
          <w:p w:rsidR="001C1E78" w:rsidP="00FC5622" w:rsidRDefault="001C1E78" w14:paraId="18EAF939" w14:textId="77777777">
            <w:pPr>
              <w:rPr>
                <w:lang w:val="en-CA"/>
              </w:rPr>
            </w:pPr>
          </w:p>
          <w:p w:rsidR="001C1E78" w:rsidP="00FC5622" w:rsidRDefault="001C1E78" w14:paraId="0967CED6" w14:textId="77777777">
            <w:pPr>
              <w:rPr>
                <w:lang w:val="en-CA"/>
              </w:rPr>
            </w:pPr>
          </w:p>
          <w:p w:rsidR="001C1E78" w:rsidP="00FC5622" w:rsidRDefault="001C1E78" w14:paraId="6E769406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38E7AD6E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8E7AD6E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38E7AD6E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Pr="004178B8" w:rsidR="001C1E78" w:rsidP="00FC5622" w:rsidRDefault="001C1E78" w14:paraId="162C5CB9" w14:textId="2A95F732">
            <w:pPr/>
            <w:r w:rsidRPr="7E0E5D97" w:rsidR="03F4218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1) Power point slides</w:t>
            </w:r>
          </w:p>
          <w:p w:rsidRPr="004178B8" w:rsidR="001C1E78" w:rsidP="00FC5622" w:rsidRDefault="001C1E78" w14:paraId="0995408C" w14:textId="76D64FD4">
            <w:pPr/>
            <w:r w:rsidRPr="7E0E5D97" w:rsidR="03F4218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2) TDL workbook</w:t>
            </w:r>
          </w:p>
          <w:p w:rsidRPr="004178B8" w:rsidR="001C1E78" w:rsidP="00FC5622" w:rsidRDefault="001C1E78" w14:paraId="0FCB1487" w14:textId="6044A828">
            <w:pPr/>
            <w:r w:rsidRPr="7E0E5D97" w:rsidR="03F4218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3) Confirmation Questions</w:t>
            </w:r>
          </w:p>
          <w:p w:rsidRPr="004178B8" w:rsidR="001C1E78" w:rsidP="00FC5622" w:rsidRDefault="001C1E78" w14:paraId="41EFC28B" w14:textId="2E4C8872">
            <w:pPr/>
            <w:r w:rsidRPr="7E0E5D97" w:rsidR="03F4218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4) TDL Tool Kit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7E0E5D97" w:rsidRDefault="001C1E78" w14:paraId="2607147B" w14:textId="0237100F">
            <w:pPr>
              <w:rPr>
                <w:lang w:val="en-CA"/>
              </w:rPr>
            </w:pPr>
            <w:r w:rsidRPr="7E0E5D97" w:rsidR="001C1E78">
              <w:rPr>
                <w:lang w:val="en-CA"/>
              </w:rPr>
              <w:t>1</w:t>
            </w:r>
            <w:r w:rsidRPr="7E0E5D97" w:rsidR="001C1E78">
              <w:rPr>
                <w:lang w:val="en-CA"/>
              </w:rPr>
              <w:t>)</w:t>
            </w:r>
            <w:r w:rsidRPr="7E0E5D97" w:rsidR="5B2AFC07">
              <w:rPr>
                <w:lang w:val="en-CA"/>
              </w:rPr>
              <w:t xml:space="preserve"> </w:t>
            </w:r>
            <w:r w:rsidRPr="7E0E5D97" w:rsidR="2B5CF28E">
              <w:rPr>
                <w:lang w:val="en-CA"/>
              </w:rPr>
              <w:t>Understanding</w:t>
            </w:r>
            <w:r w:rsidRPr="7E0E5D97" w:rsidR="5B2AFC07">
              <w:rPr>
                <w:lang w:val="en-CA"/>
              </w:rPr>
              <w:t xml:space="preserve"> Link 16</w:t>
            </w:r>
          </w:p>
          <w:p w:rsidRPr="004178B8" w:rsidR="001C1E78" w:rsidP="7E0E5D97" w:rsidRDefault="001C1E78" w14:paraId="3069CB6C" w14:textId="6093444A">
            <w:pPr>
              <w:rPr>
                <w:lang w:val="en-CA"/>
              </w:rPr>
            </w:pPr>
            <w:r w:rsidRPr="7E0E5D97" w:rsidR="001C1E78">
              <w:rPr>
                <w:lang w:val="en-CA"/>
              </w:rPr>
              <w:t>2</w:t>
            </w:r>
            <w:r w:rsidRPr="7E0E5D97" w:rsidR="001C1E78">
              <w:rPr>
                <w:lang w:val="en-CA"/>
              </w:rPr>
              <w:t>)</w:t>
            </w:r>
            <w:r w:rsidRPr="7E0E5D97" w:rsidR="75B18450">
              <w:rPr>
                <w:lang w:val="en-CA"/>
              </w:rPr>
              <w:t xml:space="preserve"> CJCSM 6120.1</w:t>
            </w:r>
          </w:p>
          <w:p w:rsidRPr="004178B8" w:rsidR="001C1E78" w:rsidP="7E0E5D97" w:rsidRDefault="001C1E78" w14:paraId="55A7446B" w14:textId="624CB221">
            <w:pPr>
              <w:pStyle w:val="Normal"/>
              <w:rPr>
                <w:lang w:val="en-CA"/>
              </w:rPr>
            </w:pPr>
            <w:r w:rsidRPr="7E0E5D97" w:rsidR="7BD8896E">
              <w:rPr>
                <w:lang w:val="en-CA"/>
              </w:rPr>
              <w:t>3)</w:t>
            </w:r>
            <w:r w:rsidRPr="7E0E5D97" w:rsidR="46C66946">
              <w:rPr>
                <w:lang w:val="en-CA"/>
              </w:rPr>
              <w:t>MIL STD 3011</w:t>
            </w:r>
          </w:p>
          <w:p w:rsidRPr="004178B8" w:rsidR="001C1E78" w:rsidP="7E0E5D97" w:rsidRDefault="001C1E78" w14:paraId="78A97F2F" w14:textId="5E7BD55B">
            <w:pPr>
              <w:pStyle w:val="Normal"/>
              <w:rPr>
                <w:lang w:val="en-CA"/>
              </w:rPr>
            </w:pPr>
            <w:r w:rsidRPr="7E0E5D97" w:rsidR="7BD8896E">
              <w:rPr>
                <w:lang w:val="en-CA"/>
              </w:rPr>
              <w:t>4) AIT Manual</w:t>
            </w:r>
          </w:p>
        </w:tc>
      </w:tr>
      <w:tr w:rsidR="001C1E78" w:rsidTr="38E7AD6E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8E7AD6E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38E7AD6E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7E0E5D97" w:rsidRDefault="001C1E78" w14:paraId="6BC1E5B5" w14:textId="7F562064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E0E5D97" w:rsidR="0DC9FCF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Refer to AIT Manual for best practices to conduct best </w:t>
            </w:r>
            <w:r w:rsidRPr="7E0E5D97" w:rsidR="0DC9FCF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summary.</w:t>
            </w: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3F4218A"/>
    <w:rsid w:val="07855918"/>
    <w:rsid w:val="087568C8"/>
    <w:rsid w:val="08B94C4C"/>
    <w:rsid w:val="09D685CC"/>
    <w:rsid w:val="0C3BFE5C"/>
    <w:rsid w:val="0D36B650"/>
    <w:rsid w:val="0DC9FCFF"/>
    <w:rsid w:val="0F8687F7"/>
    <w:rsid w:val="0FBB36C9"/>
    <w:rsid w:val="1019A83D"/>
    <w:rsid w:val="116A19BF"/>
    <w:rsid w:val="1510FDC5"/>
    <w:rsid w:val="17BA5642"/>
    <w:rsid w:val="187A5162"/>
    <w:rsid w:val="18EDEB8C"/>
    <w:rsid w:val="1A270604"/>
    <w:rsid w:val="1A448937"/>
    <w:rsid w:val="1BA421FE"/>
    <w:rsid w:val="1C41467C"/>
    <w:rsid w:val="1CB7A019"/>
    <w:rsid w:val="1D4C6B3F"/>
    <w:rsid w:val="1D8E7376"/>
    <w:rsid w:val="1DD23B75"/>
    <w:rsid w:val="1E089AE0"/>
    <w:rsid w:val="1EBE0E57"/>
    <w:rsid w:val="1F2A43D7"/>
    <w:rsid w:val="1F7F7BDA"/>
    <w:rsid w:val="2215BF62"/>
    <w:rsid w:val="22DA997F"/>
    <w:rsid w:val="237C01E2"/>
    <w:rsid w:val="244FF5FB"/>
    <w:rsid w:val="24D201A4"/>
    <w:rsid w:val="261CA5EC"/>
    <w:rsid w:val="261E7005"/>
    <w:rsid w:val="26D12094"/>
    <w:rsid w:val="28659D4D"/>
    <w:rsid w:val="2A090E11"/>
    <w:rsid w:val="2A4A5992"/>
    <w:rsid w:val="2A4D6DA0"/>
    <w:rsid w:val="2B3C4734"/>
    <w:rsid w:val="2B5CF28E"/>
    <w:rsid w:val="2B9BA626"/>
    <w:rsid w:val="2C13E4EF"/>
    <w:rsid w:val="2E466C15"/>
    <w:rsid w:val="2EC274AE"/>
    <w:rsid w:val="2F485527"/>
    <w:rsid w:val="2FCE8364"/>
    <w:rsid w:val="30B916C6"/>
    <w:rsid w:val="31B6D298"/>
    <w:rsid w:val="337789D8"/>
    <w:rsid w:val="337D783F"/>
    <w:rsid w:val="33A06459"/>
    <w:rsid w:val="365A1340"/>
    <w:rsid w:val="37A04FE8"/>
    <w:rsid w:val="38E7AD6E"/>
    <w:rsid w:val="39C1E47D"/>
    <w:rsid w:val="3B2F2838"/>
    <w:rsid w:val="3C104AE8"/>
    <w:rsid w:val="3D19655B"/>
    <w:rsid w:val="4131FF62"/>
    <w:rsid w:val="46AC9E39"/>
    <w:rsid w:val="46BF38E8"/>
    <w:rsid w:val="46C66946"/>
    <w:rsid w:val="47661AEF"/>
    <w:rsid w:val="47AE98EF"/>
    <w:rsid w:val="4946BABA"/>
    <w:rsid w:val="494FDAF5"/>
    <w:rsid w:val="4966EFD6"/>
    <w:rsid w:val="4B22FD6B"/>
    <w:rsid w:val="4C7CBA24"/>
    <w:rsid w:val="4D7A1D8D"/>
    <w:rsid w:val="4FB6FCD3"/>
    <w:rsid w:val="50F09DE7"/>
    <w:rsid w:val="551E0072"/>
    <w:rsid w:val="5820A980"/>
    <w:rsid w:val="58ADD460"/>
    <w:rsid w:val="58F5D14A"/>
    <w:rsid w:val="59C5DEDB"/>
    <w:rsid w:val="5B2AFC07"/>
    <w:rsid w:val="5C93054E"/>
    <w:rsid w:val="5CB7CE79"/>
    <w:rsid w:val="5CB8EF45"/>
    <w:rsid w:val="5E32EE21"/>
    <w:rsid w:val="5E3605D3"/>
    <w:rsid w:val="5E6915AA"/>
    <w:rsid w:val="60CE9B09"/>
    <w:rsid w:val="633F4233"/>
    <w:rsid w:val="63C74301"/>
    <w:rsid w:val="65B34049"/>
    <w:rsid w:val="65FEF3C8"/>
    <w:rsid w:val="69437D97"/>
    <w:rsid w:val="6972C07C"/>
    <w:rsid w:val="69FB028A"/>
    <w:rsid w:val="6A0770D1"/>
    <w:rsid w:val="6A2A2C4A"/>
    <w:rsid w:val="6AA46D40"/>
    <w:rsid w:val="6B2EF0CC"/>
    <w:rsid w:val="6CCCFC1C"/>
    <w:rsid w:val="6CEF1406"/>
    <w:rsid w:val="6D5ED480"/>
    <w:rsid w:val="6DE6BDB1"/>
    <w:rsid w:val="6F748C2E"/>
    <w:rsid w:val="6FB58830"/>
    <w:rsid w:val="74584E3E"/>
    <w:rsid w:val="748FEEA8"/>
    <w:rsid w:val="74B1CE06"/>
    <w:rsid w:val="75B18450"/>
    <w:rsid w:val="763C9D60"/>
    <w:rsid w:val="766B6112"/>
    <w:rsid w:val="780F1642"/>
    <w:rsid w:val="78890FEA"/>
    <w:rsid w:val="78C9D66D"/>
    <w:rsid w:val="79F073F8"/>
    <w:rsid w:val="7A0B7EBD"/>
    <w:rsid w:val="7AF32E41"/>
    <w:rsid w:val="7BD8896E"/>
    <w:rsid w:val="7BD96031"/>
    <w:rsid w:val="7DE4C694"/>
    <w:rsid w:val="7E0E5D97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Roache WO GS@CTC Arty Sch@Defence O365</lastModifiedBy>
  <revision>4</revision>
  <lastPrinted>2018-04-19T15:20:00.0000000Z</lastPrinted>
  <dcterms:created xsi:type="dcterms:W3CDTF">2021-01-29T16:31:00.0000000Z</dcterms:created>
  <dcterms:modified xsi:type="dcterms:W3CDTF">2021-02-10T13:53:19.7602074Z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